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webextensions/webextension1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67EA9" w14:textId="77777777" w:rsidR="00A90AB4" w:rsidRPr="00812C16" w:rsidRDefault="00A90AB4" w:rsidP="00BE67F7">
      <w:pPr>
        <w:rPr>
          <w:rFonts w:cs="Arial"/>
          <w:lang w:val="en-US" w:eastAsia="de-DE"/>
        </w:rPr>
        <w:sectPr w:rsidR="00A90AB4" w:rsidRPr="00812C16" w:rsidSect="00AB18EC">
          <w:headerReference w:type="default" r:id="rId8"/>
          <w:type w:val="continuous"/>
          <w:pgSz w:w="11906" w:h="16838"/>
          <w:pgMar w:top="1418" w:right="1418" w:bottom="1134" w:left="1418" w:header="709" w:footer="709" w:gutter="0"/>
          <w:pgNumType w:fmt="numberInDash"/>
          <w:cols w:space="708"/>
          <w:titlePg/>
          <w:docGrid w:linePitch="360"/>
        </w:sectPr>
      </w:pPr>
      <w:bookmarkStart w:id="0" w:name="OLE_LINK1"/>
      <w:bookmarkStart w:id="1" w:name="OLE_LINK2"/>
      <w:bookmarkStart w:id="2" w:name="_Hlk197019011"/>
    </w:p>
    <w:p w14:paraId="5EDD4460" w14:textId="77777777" w:rsidR="00E7021A" w:rsidRDefault="00E7021A">
      <w:pPr>
        <w:pStyle w:val="StandardWeb"/>
      </w:pPr>
      <w:bookmarkStart w:id="3" w:name="OLE_LINK3"/>
      <w:r>
        <w:t>1 Hintergrund</w:t>
      </w:r>
      <w:r>
        <w:br/>
        <w:t>1.1 Kopf-Hals-Plattenepithelkarzinom</w:t>
      </w:r>
      <w:r>
        <w:br/>
        <w:t>Plattenepithelkarzinome des Kopf-Hals-Bereichs stellen die weitaus häufigste Tumorentität in dieser Region dar. Sie entstehen entlang des oberen Aerodigestivtrakts und werden nach ihrer anatomischen Lokalisation in Mundhöhlen-, Pharynx- (Nasopharynx, Oropharynx, Hypopharynx) und Kehlkopftumoren unterteilt. Klinisch verteilen sie sich auf etwa 50 % in der Mundhöhle, 25 % im Pharynx und 25 % im Larynx (Wittekind, 2013).</w:t>
      </w:r>
    </w:p>
    <w:p w14:paraId="455EFD31" w14:textId="6994F894" w:rsidR="000F3B04" w:rsidRPr="004F34CD" w:rsidRDefault="00E7021A" w:rsidP="004F34CD">
      <w:r>
        <w:t>1.1.1 Epidemiologie</w:t>
      </w:r>
      <w:r>
        <w:br/>
        <w:t>Laut WHO sind im Jahr 2020 weltweit rund 509 900 Männer und 183 900 Frauen neu an einem Karzinom der Lippe, der Mundhöhle oder des Pharynx (ohne Speicheldrüse) erkrankt (Ferlay et al., 2021). Das entspricht 11,6 % aller malignen Tumorerkrankungen bei Männern und 3,8 % bei Frauen und macht diese Tumoren zur sechsthäufigsten Krebsart weltweit. Insgesamt starben daran etwa 325 000 Betroffene, davon etwa drei Viertel Männer.</w:t>
      </w:r>
    </w:p>
    <w:p w14:paraId="3B179E51" w14:textId="77777777" w:rsidR="000F3B04" w:rsidRDefault="000F3B04" w:rsidP="00D92D5E">
      <w:pPr>
        <w:spacing w:after="360"/>
        <w:rPr>
          <w:rFonts w:cs="Arial"/>
        </w:rPr>
      </w:pPr>
      <w:r>
        <w:rPr>
          <w:rFonts w:cs="Arial"/>
        </w:rPr>
        <w:t>In der Bundesrepublik Deutschland erkrankten im Jahr 2018 nach Angaben des Robert-Koch-Instituts 14.310 Bürger an einem Karzinom der Kopf- /Hals-Region. Mit einem Anteil von 68,6 % erkrankten Männer häufiger und bei einem medianen Erkrankungsalter von 64 Jahren zwei bis drei Jahre früher als Frauen. Damit ordnet sich diese Krebserkrankung bei den männlichen Erkrankten mit einem Anteil von 3,7 % an neunter Stelle (Inzidenz 17/100.000) und bei den Frauen mit einem Anteil von 1,6 % an 15. Stelle (Inzidenz 4/100.000) der gesamten Krebsneuerkrankungen in Deutschland ein. Seit einigen Jahren verlaufen die altersstandardisierten Neuerkrankungsraten in Deutschland bei den Frauen annährend konstant, bei den Männern ist sogar ein leichter Rückgang zu beobachten.</w:t>
      </w:r>
    </w:p>
    <w:p w14:paraId="2C14CE52" w14:textId="496176CE" w:rsidR="00D92D5E" w:rsidRPr="00812C16" w:rsidRDefault="00B16418" w:rsidP="00D92D5E">
      <w:pPr>
        <w:spacing w:after="360"/>
        <w:rPr>
          <w:rFonts w:cs="Arial"/>
        </w:rPr>
      </w:pPr>
      <w:r w:rsidRPr="00812C16">
        <w:rPr>
          <w:rFonts w:cs="Arial"/>
        </w:rPr>
        <w:t xml:space="preserve">. </w:t>
      </w:r>
    </w:p>
    <w:bookmarkEnd w:id="3"/>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E0161CB" w14:textId="5A1DCDBA" w:rsidR="00C5272A" w:rsidRDefault="00D92D5E" w:rsidP="004B6541">
      <w:pPr>
        <w:rPr>
          <w:rFonts w:asciiTheme="minorHAnsi" w:hAnsiTheme="minorHAnsi" w:cstheme="minorHAnsi"/>
        </w:rPr>
      </w:pPr>
      <w:bookmarkStart w:id="4" w:name="_Toc180788375"/>
      <w:r w:rsidRPr="00812C16">
        <w:rPr>
          <w:b/>
          <w:bCs/>
          <w:color w:val="000000" w:themeColor="text1"/>
          <w:sz w:val="20"/>
          <w:szCs w:val="20"/>
        </w:rPr>
        <w:t xml:space="preserve">Abbildung </w:t>
      </w:r>
      <w:r w:rsidR="00BF08D6" w:rsidRPr="00812C16">
        <w:rPr>
          <w:b/>
          <w:bCs/>
          <w:i/>
          <w:iCs/>
          <w:color w:val="000000" w:themeColor="text1"/>
          <w:sz w:val="20"/>
          <w:szCs w:val="20"/>
        </w:rPr>
        <w:fldChar w:fldCharType="begin"/>
      </w:r>
      <w:r w:rsidR="00BF08D6" w:rsidRPr="00812C16">
        <w:rPr>
          <w:b/>
          <w:bCs/>
          <w:color w:val="000000" w:themeColor="text1"/>
          <w:sz w:val="20"/>
          <w:szCs w:val="20"/>
        </w:rPr>
        <w:instrText xml:space="preserve"> STYLEREF 1 \s </w:instrText>
      </w:r>
      <w:r w:rsidR="00BF08D6" w:rsidRPr="00812C16">
        <w:rPr>
          <w:b/>
          <w:bCs/>
          <w:i/>
          <w:iCs/>
          <w:color w:val="000000" w:themeColor="text1"/>
          <w:sz w:val="20"/>
          <w:szCs w:val="20"/>
        </w:rPr>
        <w:fldChar w:fldCharType="separate"/>
      </w:r>
      <w:r w:rsidR="00F67803">
        <w:rPr>
          <w:b/>
          <w:bCs/>
          <w:noProof/>
          <w:color w:val="000000" w:themeColor="text1"/>
          <w:sz w:val="20"/>
          <w:szCs w:val="20"/>
        </w:rPr>
        <w:t>1</w:t>
      </w:r>
      <w:r w:rsidR="00BF08D6" w:rsidRPr="00812C16">
        <w:rPr>
          <w:b/>
          <w:bCs/>
          <w:i/>
          <w:iCs/>
          <w:color w:val="000000" w:themeColor="text1"/>
          <w:sz w:val="20"/>
          <w:szCs w:val="20"/>
        </w:rPr>
        <w:fldChar w:fldCharType="end"/>
      </w:r>
      <w:r w:rsidR="00BF08D6" w:rsidRPr="00812C16">
        <w:rPr>
          <w:b/>
          <w:bCs/>
          <w:color w:val="000000" w:themeColor="text1"/>
          <w:sz w:val="20"/>
          <w:szCs w:val="20"/>
        </w:rPr>
        <w:noBreakHyphen/>
      </w:r>
      <w:r w:rsidR="00BF08D6" w:rsidRPr="00812C16">
        <w:rPr>
          <w:b/>
          <w:bCs/>
          <w:i/>
          <w:iCs/>
          <w:color w:val="000000" w:themeColor="text1"/>
          <w:sz w:val="20"/>
          <w:szCs w:val="20"/>
        </w:rPr>
        <w:fldChar w:fldCharType="begin"/>
      </w:r>
      <w:r w:rsidR="00BF08D6" w:rsidRPr="00812C16">
        <w:rPr>
          <w:b/>
          <w:bCs/>
          <w:color w:val="000000" w:themeColor="text1"/>
          <w:sz w:val="20"/>
          <w:szCs w:val="20"/>
        </w:rPr>
        <w:instrText xml:space="preserve"> SEQ Abbildung \* ARABIC \s 1 </w:instrText>
      </w:r>
      <w:r w:rsidR="00BF08D6" w:rsidRPr="00812C16">
        <w:rPr>
          <w:b/>
          <w:bCs/>
          <w:i/>
          <w:iCs/>
          <w:color w:val="000000" w:themeColor="text1"/>
          <w:sz w:val="20"/>
          <w:szCs w:val="20"/>
        </w:rPr>
        <w:fldChar w:fldCharType="separate"/>
      </w:r>
      <w:r w:rsidR="00F67803">
        <w:rPr>
          <w:b/>
          <w:bCs/>
          <w:noProof/>
          <w:color w:val="000000" w:themeColor="text1"/>
          <w:sz w:val="20"/>
          <w:szCs w:val="20"/>
        </w:rPr>
        <w:t>1</w:t>
      </w:r>
      <w:r w:rsidR="00BF08D6" w:rsidRPr="00812C16">
        <w:rPr>
          <w:b/>
          <w:bCs/>
          <w:i/>
          <w:iCs/>
          <w:color w:val="000000" w:themeColor="text1"/>
          <w:sz w:val="20"/>
          <w:szCs w:val="20"/>
        </w:rPr>
        <w:fldChar w:fldCharType="end"/>
      </w:r>
      <w:r w:rsidRPr="00812C16">
        <w:rPr>
          <w:b/>
          <w:bCs/>
          <w:color w:val="000000" w:themeColor="text1"/>
          <w:sz w:val="20"/>
          <w:szCs w:val="20"/>
        </w:rPr>
        <w:t>: Altersstandardisierte Neuerkrankungs- und Sterberaten (Europastandard) nach Geschlecht, ICD-10 C00 – C14, Deutschland 1999 – 2018/2019, Prognose (Inzidenz) bis 2022</w:t>
      </w:r>
      <w:r w:rsidR="00BB3AB7" w:rsidRPr="00812C16">
        <w:rPr>
          <w:b/>
          <w:bCs/>
          <w:color w:val="000000" w:themeColor="text1"/>
          <w:sz w:val="20"/>
          <w:szCs w:val="20"/>
        </w:rPr>
        <w:t xml:space="preserve"> (</w:t>
      </w:r>
      <w:bookmarkStart w:id="5" w:name="_Toc158006512"/>
      <w:bookmarkEnd w:id="4"/>
    </w:p>
    <w:p w14:paraId="5D3D2187" w14:textId="77777777" w:rsidR="003948CA" w:rsidRDefault="003948CA">
      <w:pPr>
        <w:pStyle w:val="StandardWeb"/>
      </w:pPr>
      <w:r>
        <w:t>Laut Zentrum für Krebsregisterdaten (2021) liegen die altersstandardisierten Sterberaten bei Männern und Frauen nahezu gleich. Im Jahr 2018 starben in Deutschland insgesamt 5 412 Personen an HNSCC, davon 73,4 % Männer. Bei den krebsbedingten Todesfällen belegten Männer mit einem Anteil von 3,4 % (Sterberate 9,7/100 000) den neunten Platz, Frauen mit 1,2 % (3,4/100 000) den 17. Platz (RKI 2021).</w:t>
      </w:r>
      <w:r>
        <w:br/>
        <w:t>Personen mit niedrigem Bildungsniveau und sozial benachteiligtem Hintergrund sind überproportional von klassischen Kopf-Hals-Plattenepithelkarzinomen betroffen (Curado &amp; Boyle 2013).</w:t>
      </w:r>
    </w:p>
    <w:p w14:paraId="0D3C0DB0" w14:textId="77777777" w:rsidR="003948CA" w:rsidRDefault="003948CA">
      <w:pPr>
        <w:pStyle w:val="StandardWeb"/>
      </w:pPr>
      <w:r>
        <w:t>Kurzfassung</w:t>
      </w:r>
      <w:r>
        <w:br/>
        <w:t>Plattenepithelkarzinom im Kopf-Hals-Bereich</w:t>
      </w:r>
      <w:r>
        <w:br/>
        <w:t>In der Schleimhautregion zwischen Mundhöhle und Kehlkopf entwickeln sich verschiedene HNSCC-Formen, die je nach Lokalisation unterschieden werden. Überwiegend betroffen sind Männer mit geringer Bildung aus einkommensschwachen Schichten. Weltweit zählt diese Tumorgruppe zu den häufigsten Krebsarten, in Deutschland zeigt sich jedoch ein leichter Rückgang.</w:t>
      </w:r>
    </w:p>
    <w:p w14:paraId="53E5E404" w14:textId="77777777" w:rsidR="003948CA" w:rsidRDefault="003948CA">
      <w:pPr>
        <w:pStyle w:val="StandardWeb"/>
      </w:pPr>
      <w:r>
        <w:t>Statistik</w:t>
      </w:r>
      <w:r>
        <w:br/>
        <w:t>• Weltweit wurden 2020 laut WHO etwa 694 000 neue HNSCC-Fälle und 325 000 Todesfälle registriert, jeweils rund 75 % Männer (Ferlay et al. 2021).</w:t>
      </w:r>
      <w:r>
        <w:br/>
        <w:t>• In Deutschland meldete das Robert-Koch-Institut für 2018 insgesamt 14 310 Neuerkrankungen (69 % Männer). Das mediane Erkrankungsalter lag bei Männern bei 64 und bei Frauen um zwei bis drei Jahre höher. Männer nahmen mit 3,7 % aller Krebsneuerkrankungen den neunten, Frauen mit 1,6 % den 15. Rang ein.</w:t>
      </w:r>
      <w:r>
        <w:br/>
      </w:r>
      <w:r>
        <w:lastRenderedPageBreak/>
        <w:t>• Die altersstandardisierten Inzidenz- und Sterberaten sind bei Männern leicht rückläufig, bei Frauen weitgehend konstant.</w:t>
      </w:r>
    </w:p>
    <w:p w14:paraId="35694771" w14:textId="77777777" w:rsidR="003948CA" w:rsidRDefault="003948CA">
      <w:pPr>
        <w:pStyle w:val="StandardWeb"/>
      </w:pPr>
      <w:r>
        <w:t>Abbildung 2-1 zeigt die altersstandardisierten Neuerkrankungs- und Sterberaten (Europastandard) nach Geschlecht für ICD-10 C00–C14 in Deutschland von 1999 bis 2018/19 sowie eine Inzidenzprognose bis 2022 (Zentrum für Krebsregisterdaten 2021).</w:t>
      </w:r>
    </w:p>
    <w:p w14:paraId="021F798B" w14:textId="22E699A9" w:rsidR="003948CA" w:rsidRPr="003948CA" w:rsidRDefault="003948CA" w:rsidP="003948CA">
      <w:pPr>
        <w:rPr>
          <w:rFonts w:eastAsiaTheme="majorEastAsia"/>
        </w:rPr>
      </w:pPr>
      <w:r>
        <w:t>Für das Jahr 2018 ergeben sich folgende Krebstodesfall-Platzierungen bei HNSCC (RKI 2021):</w:t>
      </w:r>
      <w:r>
        <w:br/>
        <w:t>– Männer: 5 412 Todesfälle (73 %), 9. Platz mit 3,4 % aller krebsbedingten Sterbefälle</w:t>
      </w:r>
      <w:r>
        <w:br/>
        <w:t>– Frauen: Anteil von 1,2 %, Platz 17</w:t>
      </w:r>
    </w:p>
    <w:p w14:paraId="37A6B0A6" w14:textId="04851FBE" w:rsidR="00C31409" w:rsidRPr="003948CA" w:rsidRDefault="00C31409" w:rsidP="003948CA">
      <w:pPr>
        <w:rPr>
          <w:rFonts w:eastAsiaTheme="majorEastAsia"/>
        </w:rPr>
      </w:pPr>
    </w:p>
    <w:p w14:paraId="383B68DB" w14:textId="2485AF66" w:rsidR="00B76E53" w:rsidRPr="00B76E53" w:rsidRDefault="00B76E53" w:rsidP="00B76E53">
      <w:pPr>
        <w:rPr>
          <w:rFonts w:eastAsiaTheme="majorEastAsia"/>
        </w:rPr>
      </w:pPr>
    </w:p>
    <w:p w14:paraId="42C80B43" w14:textId="5A318154" w:rsidR="00EB5548" w:rsidRPr="00B76E53" w:rsidRDefault="00EB5548" w:rsidP="00B76E53">
      <w:pPr>
        <w:rPr>
          <w:rFonts w:eastAsiaTheme="majorEastAsia"/>
        </w:rPr>
      </w:pPr>
    </w:p>
    <w:p w14:paraId="2299CBE0" w14:textId="34F554EE" w:rsidR="00081198" w:rsidRPr="00A03861" w:rsidRDefault="005C1C9C" w:rsidP="00A03861">
      <w:pPr>
        <w:pStyle w:val="berschrift3"/>
      </w:pPr>
      <w:r w:rsidRPr="00812C16">
        <w:t xml:space="preserve">Ätiologie und </w:t>
      </w:r>
      <w:r w:rsidR="002F01F1" w:rsidRPr="00812C16">
        <w:t>Risikofaktore</w:t>
      </w:r>
      <w:bookmarkEnd w:id="5"/>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6EBC2D5E" w:rsidR="00DB3659" w:rsidRPr="00812C16" w:rsidRDefault="00EF2CCD" w:rsidP="00EF2CCD">
      <w:pPr>
        <w:rPr>
          <w:rFonts w:cs="Arial"/>
        </w:rPr>
      </w:pPr>
      <w:r w:rsidRPr="00812C16">
        <w:rPr>
          <w:rFonts w:cs="Arial"/>
        </w:rPr>
        <w:lastRenderedPageBreak/>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Syrjanen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Waldeyer’schen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Paz et al., 1997</w:t>
      </w:r>
      <w:r w:rsidR="000112D9">
        <w:rPr>
          <w:rFonts w:cs="Arial"/>
          <w:noProof/>
        </w:rPr>
        <w:t xml:space="preserve">; </w:t>
      </w:r>
      <w:r w:rsidR="009D0F7A" w:rsidRPr="00DF25A8">
        <w:t>Snijders et al., 1992</w:t>
      </w:r>
      <w:r w:rsidR="000112D9">
        <w:rPr>
          <w:rFonts w:cs="Arial"/>
          <w:noProof/>
        </w:rPr>
        <w:t>)</w:t>
      </w:r>
      <w:r w:rsidR="000112D9">
        <w:rPr>
          <w:rFonts w:cs="Arial"/>
        </w:rPr>
        <w:fldChar w:fldCharType="end"/>
      </w:r>
      <w:r w:rsidRPr="00812C16">
        <w:rPr>
          <w:rFonts w:cs="Arial"/>
        </w:rPr>
        <w:t>. Zudem fanden Andl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w:t>
      </w:r>
      <w:r w:rsidR="000112D9">
        <w:rPr>
          <w:rFonts w:cs="Arial"/>
        </w:rPr>
        <w:fldChar w:fldCharType="end"/>
      </w:r>
      <w:r w:rsidRPr="00812C16">
        <w:rPr>
          <w:rFonts w:cs="Arial"/>
        </w:rPr>
        <w:t>zum ersten Mal ein besseres Gesamt- und progressionsfreies Überleben für die Patienten mit HPV-positiven Tonsillenkarzinomen,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(oropharyngeal squamous cell carcinomas,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Chung &amp; Gillison, 2009</w:t>
      </w:r>
      <w:r w:rsidR="000112D9">
        <w:rPr>
          <w:rFonts w:cs="Arial"/>
          <w:noProof/>
        </w:rPr>
        <w:t xml:space="preserve">; </w:t>
      </w:r>
      <w:r w:rsidR="009D0F7A" w:rsidRPr="00DF25A8">
        <w:t>Gillison et al., 2000</w:t>
      </w:r>
      <w:r w:rsidR="000112D9">
        <w:rPr>
          <w:rFonts w:cs="Arial"/>
          <w:noProof/>
        </w:rPr>
        <w:t xml:space="preserve">; </w:t>
      </w:r>
      <w:r w:rsidR="009D0F7A" w:rsidRPr="00DF25A8">
        <w:t>Klussmann et al., 2003</w:t>
      </w:r>
      <w:r w:rsidR="000112D9">
        <w:rPr>
          <w:rFonts w:cs="Arial"/>
          <w:noProof/>
        </w:rPr>
        <w:t xml:space="preserve">; </w:t>
      </w:r>
      <w:r w:rsidR="009D0F7A" w:rsidRPr="00DF25A8">
        <w:t>Klussmann et al., 2001</w:t>
      </w:r>
      <w:r w:rsidR="000112D9">
        <w:rPr>
          <w:rFonts w:cs="Arial"/>
          <w:noProof/>
        </w:rPr>
        <w:t xml:space="preserve">; </w:t>
      </w:r>
      <w:r w:rsidR="009D0F7A" w:rsidRPr="00DF25A8">
        <w:t>Lindel et al., 2001</w:t>
      </w:r>
      <w:r w:rsidR="000112D9">
        <w:rPr>
          <w:rFonts w:cs="Arial"/>
          <w:noProof/>
        </w:rPr>
        <w:t xml:space="preserve">; </w:t>
      </w:r>
      <w:r w:rsidR="009D0F7A" w:rsidRPr="00DF25A8">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Gillison et al., 2000</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Klussmann et al., 2003</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Hafkamp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Lindquist et al., 2007</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Gillison et al., 2008</w:t>
      </w:r>
      <w:r w:rsidR="000112D9">
        <w:rPr>
          <w:rFonts w:cs="Arial"/>
          <w:noProof/>
        </w:rPr>
        <w:t xml:space="preserve">; </w:t>
      </w:r>
      <w:r w:rsidR="009D0F7A" w:rsidRPr="00DF25A8">
        <w:t>Hafkamp et al., 2008</w:t>
      </w:r>
      <w:r w:rsidR="000112D9">
        <w:rPr>
          <w:rFonts w:cs="Arial"/>
          <w:noProof/>
        </w:rPr>
        <w:t xml:space="preserve">; </w:t>
      </w:r>
      <w:r w:rsidR="009D0F7A" w:rsidRPr="00DF25A8">
        <w:t>Sturgis &amp; Cinciripini,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D'Souza et al., 2009</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Fakhry et al., 2008</w:t>
      </w:r>
      <w:r w:rsidR="000112D9">
        <w:rPr>
          <w:rFonts w:cs="Arial"/>
          <w:noProof/>
        </w:rPr>
        <w:t xml:space="preserve">; </w:t>
      </w:r>
      <w:r w:rsidR="009D0F7A" w:rsidRPr="00DF25A8">
        <w:t>Gillison et al., 2000</w:t>
      </w:r>
      <w:r w:rsidR="000112D9">
        <w:rPr>
          <w:rFonts w:cs="Arial"/>
          <w:noProof/>
        </w:rPr>
        <w:t xml:space="preserve">; </w:t>
      </w:r>
      <w:r w:rsidR="009D0F7A" w:rsidRPr="00DF25A8">
        <w:t>Lindel et al., 2001</w:t>
      </w:r>
      <w:r w:rsidR="000112D9">
        <w:rPr>
          <w:rFonts w:cs="Arial"/>
          <w:noProof/>
        </w:rPr>
        <w:t xml:space="preserve">; </w:t>
      </w:r>
      <w:r w:rsidR="009D0F7A" w:rsidRPr="00DF25A8">
        <w:t>Shi et al., 2009</w:t>
      </w:r>
      <w:r w:rsidR="000112D9">
        <w:rPr>
          <w:rFonts w:cs="Arial"/>
          <w:noProof/>
        </w:rPr>
        <w:t xml:space="preserve">; </w:t>
      </w:r>
      <w:r w:rsidR="009D0F7A" w:rsidRPr="00DF25A8">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6" w:name="_Ref92196794"/>
      <w:bookmarkStart w:id="7"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6"/>
      <w:r w:rsidRPr="00812C16">
        <w:rPr>
          <w:b/>
          <w:bCs/>
          <w:i w:val="0"/>
          <w:iCs w:val="0"/>
          <w:color w:val="000000" w:themeColor="text1"/>
          <w:sz w:val="20"/>
          <w:szCs w:val="20"/>
        </w:rPr>
        <w:t>: Unterschiede zwischen HPV-negativen und HPV-positiven Kopf-Hals Tumoren.</w:t>
      </w:r>
      <w:bookmarkEnd w:id="7"/>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undifferenziert, basaloid</w:t>
            </w:r>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Ansprechen auf Rx/CT*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Heterogenitäten festgestellt (61, 84), die auf Unterschiede in der Viruslast und/oder der viralen Onkogenexpression zurückzu- führen waren (42, 43, 60, 70, 74, 80, 85-87). </w:t>
      </w:r>
      <w:r w:rsidR="00487684" w:rsidRPr="00812C16">
        <w:rPr>
          <w:rFonts w:cs="Arial"/>
        </w:rPr>
        <w:t>Am häufigsten findet sich hierbei mit knapp 95% der Fälle der Subtyp HPV 16, am zweithäufigsten der Subtyp HPV 18 [11-13].</w:t>
      </w:r>
    </w:p>
    <w:p w14:paraId="3CD14D24" w14:textId="77777777" w:rsidR="003948CA" w:rsidRDefault="003948CA" w:rsidP="002F01F1">
      <w:pPr>
        <w:rPr>
          <w:rFonts w:cs="Arial"/>
        </w:rPr>
      </w:pPr>
    </w:p>
    <w:p w14:paraId="5CA1EF72" w14:textId="77777777" w:rsidR="00254F33" w:rsidRDefault="00254F33" w:rsidP="002F01F1">
      <w:pPr>
        <w:rPr>
          <w:rFonts w:cs="Arial"/>
        </w:rPr>
      </w:pPr>
      <w:r>
        <w:rPr>
          <w:rFonts w:cs="Arial"/>
        </w:rPr>
        <w:t>Ätiologie und Risikofaktoren</w:t>
      </w:r>
    </w:p>
    <w:p w14:paraId="4D789A2E" w14:textId="77777777" w:rsidR="00254F33" w:rsidRDefault="00254F33" w:rsidP="00254F33">
      <w:r>
        <w:t xml:space="preserve">Tabak- und Alkoholkonsum  </w:t>
      </w:r>
    </w:p>
    <w:p w14:paraId="49B161D7" w14:textId="117EE44D" w:rsidR="00254F33" w:rsidRPr="00254F33" w:rsidRDefault="00254F33" w:rsidP="00254F33">
      <w:r>
        <w:t>Tabakrauchen und Alkoholkonsum gelten als die bedeutendsten Risikofaktoren für ein Plattenepithelkarzinom im</w:t>
      </w:r>
    </w:p>
    <w:p w14:paraId="028D7DBB" w14:textId="01F907EB"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 xml:space="preserve">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w:t>
      </w:r>
      <w:r w:rsidRPr="00812C16">
        <w:rPr>
          <w:rFonts w:cs="Arial"/>
        </w:rPr>
        <w:lastRenderedPageBreak/>
        <w:t>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8" w:name="_Toc158006513"/>
      <w:r w:rsidRPr="00812C16">
        <w:t>Pathog</w:t>
      </w:r>
      <w:r w:rsidR="006A6BE3" w:rsidRPr="00812C16">
        <w:t>e</w:t>
      </w:r>
      <w:r w:rsidRPr="00812C16">
        <w:t>nese</w:t>
      </w:r>
      <w:bookmarkEnd w:id="8"/>
      <w:r w:rsidRPr="00812C16">
        <w:t xml:space="preserve"> </w:t>
      </w:r>
    </w:p>
    <w:p w14:paraId="313C0B85" w14:textId="305C38AA"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anfärbbar, was man als Hyperchromatismus bezeichnet. Es kommt zu einer Entdifferenzierung, also einem Verlust der ursprünglichen Zellstruktur und der Funktionen des normalen Gewebes. Es zeigt sich ein Polymorphismus, eine Vielgestaltigkeit der Zellen oder eine Zellheterotopie,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lastRenderedPageBreak/>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9E62F02"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9" w:name="_Ref92712359"/>
      <w:bookmarkStart w:id="10"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9"/>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0"/>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1" w:name="_Toc158006514"/>
      <w:r w:rsidRPr="00812C16">
        <w:t>Anatomi</w:t>
      </w:r>
      <w:r w:rsidR="00E1163E" w:rsidRPr="00812C16">
        <w:t xml:space="preserve">e, Histopathologie und </w:t>
      </w:r>
      <w:r w:rsidR="00661B93" w:rsidRPr="00812C16">
        <w:t>Tumorklassifikation</w:t>
      </w:r>
      <w:bookmarkEnd w:id="11"/>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Naso-, Oro-, Hypopharynx und Larynx. </w:t>
      </w:r>
    </w:p>
    <w:p w14:paraId="1E1C1788" w14:textId="77777777" w:rsidR="0011420F" w:rsidRPr="00812C16" w:rsidRDefault="00B71E93" w:rsidP="0011420F">
      <w:pPr>
        <w:keepNext/>
        <w:spacing w:before="360" w:after="0"/>
      </w:pPr>
      <w:r w:rsidRPr="00812C16">
        <w:rPr>
          <w:rFonts w:cs="Arial"/>
          <w:noProof/>
        </w:rPr>
        <w:lastRenderedPageBreak/>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29B51E48" w:rsidR="0011420F" w:rsidRPr="00812C16" w:rsidRDefault="0011420F" w:rsidP="0011420F">
      <w:pPr>
        <w:pStyle w:val="Beschriftung"/>
        <w:spacing w:after="360" w:line="240" w:lineRule="auto"/>
        <w:rPr>
          <w:rFonts w:cs="Arial"/>
          <w:i w:val="0"/>
          <w:iCs w:val="0"/>
          <w:color w:val="000000" w:themeColor="text1"/>
          <w:sz w:val="20"/>
          <w:szCs w:val="20"/>
        </w:rPr>
      </w:pPr>
      <w:bookmarkStart w:id="12"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Sagitalschnitt. </w:t>
      </w:r>
      <w:r w:rsidRPr="00812C16">
        <w:rPr>
          <w:i w:val="0"/>
          <w:iCs w:val="0"/>
          <w:color w:val="000000" w:themeColor="text1"/>
          <w:sz w:val="20"/>
          <w:szCs w:val="20"/>
        </w:rPr>
        <w:t xml:space="preserve">Oral cavity, Mundhöhle; Tongue,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DF25A8">
        <w:rPr>
          <w:i w:val="0"/>
          <w:iCs w:val="0"/>
          <w:sz w:val="24"/>
          <w:szCs w:val="24"/>
        </w:rPr>
        <w:t>Sabatini &amp; Chiocca,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12"/>
    </w:p>
    <w:p w14:paraId="689BA9A0" w14:textId="2A153C47"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angrenzt. Ihm werden die Tonsillen, der weiche Gaumen inklusive des Gaumenzäpfchens (Uvula), sowie der Zungengrund zugeordnet.</w:t>
      </w:r>
      <w:r w:rsidR="005358E2" w:rsidRPr="00812C16">
        <w:t xml:space="preserve"> </w:t>
      </w:r>
      <w:r w:rsidR="00A84339" w:rsidRPr="00812C16">
        <w:rPr>
          <w:rFonts w:cs="Arial"/>
        </w:rPr>
        <w:t>Die häufigsten Tumorlokalisationen sind die Tonsillarfurche,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Postkrikoidregion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Chin et al., 2006</w:t>
      </w:r>
      <w:r w:rsidR="000112D9">
        <w:rPr>
          <w:rFonts w:cs="Arial"/>
          <w:noProof/>
        </w:rPr>
        <w:t xml:space="preserve">; </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r w:rsidR="00BF0C6E" w:rsidRPr="00812C16">
        <w:rPr>
          <w:rFonts w:cs="Arial"/>
        </w:rPr>
        <w:t>Hypopharynxkarzinomen</w:t>
      </w:r>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Er wird in den supraglottischen, den glottischen und den subglottischen Bereich eingeteilt. Den glottischen Anteil des Larynx bildet die Stimmlippe mit der vorderen und der hinteren Kommissur. Hier finden sich mit etwa 60% die meisten Larynxkarzinome, gefolgt von supraglottischen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subglottische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2614BFE9"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die insbesondere von den Schleimhäuten der Mundhöhle, des Naso-,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Cardesa et al., 2008</w:t>
      </w:r>
      <w:r w:rsidR="000112D9">
        <w:rPr>
          <w:rFonts w:cs="Arial"/>
          <w:noProof/>
        </w:rPr>
        <w:t xml:space="preserve">; </w:t>
      </w:r>
      <w:r w:rsidR="009D0F7A" w:rsidRPr="00DF25A8">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Als Vorstufen gelten Leukoplakien und Erythroplakien, wobei letztere zu 90% bereits ein Carcinoma in situ oder ein invasives Karzinom darstellen</w:t>
      </w:r>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ialer Tumor mit platten</w:t>
      </w:r>
      <w:r w:rsidR="003C6EAF" w:rsidRPr="00812C16">
        <w:rPr>
          <w:rFonts w:cs="Arial"/>
        </w:rPr>
        <w:t xml:space="preserve">epithelialer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Lingen, 2000</w:t>
      </w:r>
      <w:r w:rsidR="000112D9">
        <w:rPr>
          <w:rFonts w:cs="Arial"/>
          <w:noProof/>
        </w:rPr>
        <w:t xml:space="preserve">; </w:t>
      </w:r>
      <w:r w:rsidR="009D0F7A" w:rsidRPr="00DF25A8">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r w:rsidRPr="00812C16">
        <w:rPr>
          <w:rFonts w:cs="Arial"/>
        </w:rPr>
        <w:lastRenderedPageBreak/>
        <w:t xml:space="preserve">Lymphoepitheliome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Vokes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r w:rsidR="00F87204" w:rsidRPr="00812C16">
        <w:rPr>
          <w:rFonts w:cs="Arial"/>
          <w:lang w:val="en-US"/>
        </w:rPr>
        <w:t xml:space="preserve">Diese Diagnose wird als CUP-Syndrom (carcinoma of unknown primary, CUP) bezeichnet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DF25A8">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r w:rsidRPr="00812C16">
        <w:rPr>
          <w:rFonts w:cs="Arial"/>
          <w:i/>
          <w:iCs/>
        </w:rPr>
        <w:t>H</w:t>
      </w:r>
      <w:r w:rsidR="008D1F0B" w:rsidRPr="00812C16">
        <w:rPr>
          <w:rFonts w:cs="Arial"/>
          <w:i/>
          <w:iCs/>
        </w:rPr>
        <w:t>istomorphologische Malignitätsgraduierung</w:t>
      </w:r>
      <w:r w:rsidR="00E5725D" w:rsidRPr="00812C16">
        <w:rPr>
          <w:rFonts w:cs="Arial"/>
          <w:i/>
          <w:iCs/>
        </w:rPr>
        <w:t xml:space="preserve"> </w:t>
      </w:r>
      <w:r w:rsidR="00637976" w:rsidRPr="00812C16">
        <w:rPr>
          <w:rFonts w:cs="Arial"/>
          <w:i/>
          <w:iCs/>
        </w:rPr>
        <w:t>von Kopf-Hals-Tumoren</w:t>
      </w:r>
    </w:p>
    <w:p w14:paraId="1330A731" w14:textId="33E8E209"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und gibt an wie sehr sich die entarteten Zellen von dem Zellen des Ausgangsgewebes unterscheiden</w:t>
      </w:r>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Zellpleomorphie,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13" w:name="_Ref92646788"/>
      <w:bookmarkStart w:id="14"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13"/>
      <w:r w:rsidRPr="00812C16">
        <w:rPr>
          <w:b/>
          <w:bCs/>
          <w:i w:val="0"/>
          <w:iCs w:val="0"/>
          <w:color w:val="000000" w:themeColor="text1"/>
          <w:sz w:val="20"/>
          <w:szCs w:val="20"/>
        </w:rPr>
        <w:t>: Histopathologisches Grading der Tumore im Kopf-Hals-Bereich</w:t>
      </w:r>
      <w:bookmarkEnd w:id="1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Niedrigdifferenziertes Karzinom mit kaum noch plattenepithelialer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56D5BB7E"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15"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a Gut differenziertes Plattenepithelkarzinom. b Mäßig differenziertes Platten-epithelkarzinom.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Cardesa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15"/>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76AD8247"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subepitheliale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sind</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r w:rsidR="00F43C49" w:rsidRPr="00812C16">
        <w:rPr>
          <w:rFonts w:cs="Arial"/>
        </w:rPr>
        <w:t>Des weiteren</w:t>
      </w:r>
      <w:r w:rsidR="005E17BA" w:rsidRPr="00812C16">
        <w:rPr>
          <w:rFonts w:cs="Arial"/>
        </w:rPr>
        <w:t xml:space="preserve"> sind die Kernpleomorphie, die Häufigkeit von atypischen Mitosen oder die Kernhyperchromasie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5E17BA" w:rsidRPr="00812C16">
        <w:rPr>
          <w:rFonts w:cs="Arial"/>
        </w:rPr>
        <w:t xml:space="preserve"> In der Tumorumgebung findet sich häufig ein gemischtzelliges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präsentiert sich makroskopisch als exophytische, ulzerative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ulzerative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Basaloides Karzinom und das Lymphoepitheliales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Subtypen untersch</w:t>
      </w:r>
      <w:r w:rsidR="00C03F7E" w:rsidRPr="00812C16">
        <w:rPr>
          <w:rFonts w:cs="Arial"/>
        </w:rPr>
        <w:t xml:space="preserve">ieden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16" w:name="_Ref92690642"/>
      <w:bookmarkStart w:id="17"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16"/>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68E2BD67"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Barnes et al., 2005</w:t>
            </w:r>
            <w:r>
              <w:rPr>
                <w:rFonts w:cs="Arial"/>
                <w:i/>
                <w:iCs/>
                <w:noProof/>
                <w:sz w:val="18"/>
                <w:szCs w:val="18"/>
              </w:rPr>
              <w:t xml:space="preserve">; </w:t>
            </w:r>
            <w:r w:rsidR="009D0F7A" w:rsidRPr="00DF25A8">
              <w:t>Cardesa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(leukoplaktischer)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ran im Sinne einer plumpen Stroma</w:t>
            </w:r>
            <w:r w:rsidR="00210A8C" w:rsidRPr="00812C16">
              <w:rPr>
                <w:rFonts w:cs="Arial"/>
                <w:sz w:val="18"/>
                <w:szCs w:val="18"/>
              </w:rPr>
              <w:t>infiltration</w:t>
            </w:r>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Zellatypien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Atypien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F3D6089"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spindelzelligen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631EA857" w:rsidR="00A126D9" w:rsidRPr="00812C16" w:rsidRDefault="006C2EE5" w:rsidP="00C03F7E">
            <w:pPr>
              <w:spacing w:before="60" w:after="60" w:line="360" w:lineRule="auto"/>
              <w:jc w:val="left"/>
              <w:rPr>
                <w:rFonts w:cs="Arial"/>
                <w:sz w:val="18"/>
                <w:szCs w:val="18"/>
              </w:rPr>
            </w:pPr>
            <w:r w:rsidRPr="00812C16">
              <w:rPr>
                <w:rFonts w:cs="Arial"/>
                <w:b/>
                <w:bCs/>
                <w:sz w:val="18"/>
                <w:szCs w:val="18"/>
              </w:rPr>
              <w:t xml:space="preserve">Basaloides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r w:rsidR="009D0F7A" w:rsidRPr="00DF25A8">
              <w:t>Klijanienko et al., 1993</w:t>
            </w:r>
            <w:r w:rsidR="000112D9">
              <w:rPr>
                <w:rFonts w:cs="Arial"/>
                <w:noProof/>
                <w:sz w:val="18"/>
                <w:szCs w:val="18"/>
              </w:rPr>
              <w:t xml:space="preserve">; </w:t>
            </w:r>
            <w:r w:rsidR="009D0F7A" w:rsidRPr="00DF25A8">
              <w:t>Raslan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basaloiden und verhornenden Elementen. Die p</w:t>
            </w:r>
            <w:r w:rsidR="0008519C" w:rsidRPr="00812C16">
              <w:rPr>
                <w:rFonts w:cs="Arial"/>
                <w:sz w:val="18"/>
                <w:szCs w:val="18"/>
              </w:rPr>
              <w:t>leomorphen, basaloide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In der Literatur wird berichtet, dass HPV-assoziierte PEC vermehrt eine basaloide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r w:rsidRPr="00812C16">
              <w:rPr>
                <w:rFonts w:cs="Arial"/>
                <w:b/>
                <w:bCs/>
                <w:sz w:val="18"/>
                <w:szCs w:val="18"/>
              </w:rPr>
              <w:t>Lymphoepitheliales</w:t>
            </w:r>
            <w:r w:rsidR="006C2EE5" w:rsidRPr="00812C16">
              <w:rPr>
                <w:rFonts w:cs="Arial"/>
                <w:b/>
                <w:bCs/>
                <w:sz w:val="18"/>
                <w:szCs w:val="18"/>
              </w:rPr>
              <w:t xml:space="preserve"> Karzinom</w:t>
            </w:r>
            <w:r w:rsidRPr="00812C16">
              <w:rPr>
                <w:rFonts w:cs="Arial"/>
                <w:b/>
                <w:bCs/>
                <w:sz w:val="18"/>
                <w:szCs w:val="18"/>
              </w:rPr>
              <w:t xml:space="preserve"> </w:t>
            </w:r>
          </w:p>
          <w:p w14:paraId="2C99F8E8" w14:textId="7BBA8583"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DF25A8">
              <w:t>Herrmann &amp; Niedobitek, 2003</w:t>
            </w:r>
            <w:r>
              <w:rPr>
                <w:rFonts w:cs="Arial"/>
                <w:noProof/>
                <w:sz w:val="18"/>
                <w:szCs w:val="18"/>
              </w:rPr>
              <w:t xml:space="preserve">; </w:t>
            </w:r>
            <w:r w:rsidR="009D0F7A" w:rsidRPr="00DF25A8">
              <w:t>MacMillan et al., 1996</w:t>
            </w:r>
            <w:r>
              <w:rPr>
                <w:rFonts w:cs="Arial"/>
                <w:noProof/>
                <w:sz w:val="18"/>
                <w:szCs w:val="18"/>
              </w:rPr>
              <w:t xml:space="preserve">; </w:t>
            </w:r>
            <w:r w:rsidR="009D0F7A" w:rsidRPr="00DF25A8">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im Nasopharynx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lymphoplasmatischen Infiltraten</w:t>
            </w:r>
            <w:r w:rsidR="00F622C2" w:rsidRPr="00812C16">
              <w:rPr>
                <w:rFonts w:cs="Arial"/>
                <w:sz w:val="18"/>
                <w:szCs w:val="18"/>
              </w:rPr>
              <w:t xml:space="preserve"> in Form von </w:t>
            </w:r>
            <w:r w:rsidR="00475A16" w:rsidRPr="00812C16">
              <w:rPr>
                <w:rFonts w:cs="Arial"/>
                <w:sz w:val="18"/>
                <w:szCs w:val="18"/>
              </w:rPr>
              <w:t>kleinen Nestern oder Gruppen (Typ Schmincke) oder großen synzytialen Verbänden (Typ Regaud)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Auf die weiteren, sehr seltenen malignen Tumoren wie Lym- phome,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(Nodus) den Befallstatus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(p)Tx</w:t>
            </w:r>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(p)Tis</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Ausbreitung zur lingualen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Fixation des Hemilarynx</w:t>
            </w:r>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mediale Pterygoidmuskulatur,</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masticatorium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Proc.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carotis interna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aterale Pterygoidmuskulatur,</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Proc. </w:t>
            </w:r>
            <w:r w:rsidR="008E39CD" w:rsidRPr="00812C16">
              <w:rPr>
                <w:rFonts w:cs="Arial"/>
                <w:sz w:val="18"/>
                <w:szCs w:val="18"/>
              </w:rPr>
              <w:t>P</w:t>
            </w:r>
            <w:r w:rsidRPr="00812C16">
              <w:rPr>
                <w:rFonts w:cs="Arial"/>
                <w:sz w:val="18"/>
                <w:szCs w:val="18"/>
              </w:rPr>
              <w:t>terygoidei</w:t>
            </w:r>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umschließt die A. carotis</w:t>
            </w:r>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umschließt die A. carotis</w:t>
            </w:r>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Unterbezirke des Hypopharynx: Postkrikoidregion, Sinus piriformis. Hypopharynxhinterwand</w:t>
      </w:r>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(depth of invasion),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Zumeist besteht bereits bei Erstdiagnose eine Metastasierung in lokoregionäre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Hypopharynxkarzinom am höchsten [25, 26]. Sie wird von Vokes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IIa IIb</w:t>
      </w:r>
    </w:p>
    <w:p w14:paraId="4B385B5F" w14:textId="77777777" w:rsidR="002F01F1" w:rsidRPr="00812C16" w:rsidRDefault="002F01F1" w:rsidP="002F01F1">
      <w:pPr>
        <w:rPr>
          <w:rFonts w:cs="Arial"/>
        </w:rPr>
      </w:pPr>
      <w:r w:rsidRPr="00812C16">
        <w:rPr>
          <w:rFonts w:cs="Arial"/>
        </w:rPr>
        <w:t>Kraniojuguläre Lymphknoten (oberes Drittel der V. jugularis interna)</w:t>
      </w:r>
    </w:p>
    <w:p w14:paraId="4C162EA4" w14:textId="77777777" w:rsidR="002F01F1" w:rsidRPr="00812C16" w:rsidRDefault="002F01F1" w:rsidP="002F01F1">
      <w:pPr>
        <w:rPr>
          <w:rFonts w:cs="Arial"/>
          <w:lang w:val="en-US"/>
        </w:rPr>
      </w:pPr>
      <w:r w:rsidRPr="00812C16">
        <w:rPr>
          <w:rFonts w:cs="Arial"/>
          <w:lang w:val="en-US"/>
        </w:rPr>
        <w:t>- ventral des N. accessorius</w:t>
      </w:r>
    </w:p>
    <w:p w14:paraId="0A082F56" w14:textId="77777777" w:rsidR="002F01F1" w:rsidRPr="00812C16" w:rsidRDefault="002F01F1" w:rsidP="002F01F1">
      <w:pPr>
        <w:rPr>
          <w:rFonts w:cs="Arial"/>
          <w:lang w:val="en-US"/>
        </w:rPr>
      </w:pPr>
      <w:r w:rsidRPr="00812C16">
        <w:rPr>
          <w:rFonts w:cs="Arial"/>
          <w:lang w:val="en-US"/>
        </w:rPr>
        <w:t>- dorsal des N. accessorius</w:t>
      </w:r>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r w:rsidRPr="00812C16">
        <w:rPr>
          <w:rFonts w:cs="Arial"/>
        </w:rPr>
        <w:t>Mediojuguläre Lymphknoten (mittleres Drittel</w:t>
      </w:r>
    </w:p>
    <w:p w14:paraId="259854EF" w14:textId="77777777" w:rsidR="002F01F1" w:rsidRPr="00812C16" w:rsidRDefault="002F01F1" w:rsidP="002F01F1">
      <w:pPr>
        <w:rPr>
          <w:rFonts w:cs="Arial"/>
        </w:rPr>
      </w:pPr>
      <w:r w:rsidRPr="00812C16">
        <w:rPr>
          <w:rFonts w:cs="Arial"/>
        </w:rPr>
        <w:t>der V. jugularis interna)</w:t>
      </w:r>
    </w:p>
    <w:p w14:paraId="5FFF09B9" w14:textId="77777777" w:rsidR="002F01F1" w:rsidRPr="00812C16" w:rsidRDefault="002F01F1" w:rsidP="002F01F1">
      <w:pPr>
        <w:rPr>
          <w:rFonts w:cs="Arial"/>
        </w:rPr>
      </w:pPr>
      <w:r w:rsidRPr="00812C16">
        <w:rPr>
          <w:rFonts w:cs="Arial"/>
        </w:rPr>
        <w:t xml:space="preserve">  IV Kaudojuguläre Lymphknoten (unteres Drittel der V. jugularis interna)</w:t>
      </w:r>
    </w:p>
    <w:p w14:paraId="5624E130" w14:textId="77777777" w:rsidR="002F01F1" w:rsidRPr="00812C16" w:rsidRDefault="002F01F1" w:rsidP="002F01F1">
      <w:pPr>
        <w:rPr>
          <w:rFonts w:cs="Arial"/>
        </w:rPr>
      </w:pPr>
      <w:r w:rsidRPr="00812C16">
        <w:rPr>
          <w:rFonts w:cs="Arial"/>
        </w:rPr>
        <w:t>VI Lymphknoten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Vb</w:t>
      </w:r>
    </w:p>
    <w:p w14:paraId="01F10C93" w14:textId="77777777" w:rsidR="002F01F1" w:rsidRPr="00812C16" w:rsidRDefault="002F01F1" w:rsidP="002F01F1">
      <w:pPr>
        <w:rPr>
          <w:rFonts w:cs="Arial"/>
        </w:rPr>
      </w:pPr>
      <w:r w:rsidRPr="00812C16">
        <w:rPr>
          <w:rFonts w:cs="Arial"/>
        </w:rPr>
        <w:t>Lymphknoten des posterioren Halsdreiecks Kraniales posteriores Halsdreieck Kaudales posteriores Halsdreieck</w:t>
      </w:r>
    </w:p>
    <w:p w14:paraId="177C2784" w14:textId="77777777" w:rsidR="002F01F1" w:rsidRPr="00812C16" w:rsidRDefault="002F01F1" w:rsidP="005547D3">
      <w:pPr>
        <w:pStyle w:val="berschrift3"/>
      </w:pPr>
      <w:bookmarkStart w:id="18" w:name="_Toc158006515"/>
      <w:r w:rsidRPr="00812C16">
        <w:lastRenderedPageBreak/>
        <w:t>Klassifikation und Stadien nach AJCC</w:t>
      </w:r>
      <w:bookmarkEnd w:id="18"/>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(tumor, node, metastasis)-System des AJCC (American Committee on Cancer) und der UICC (International Union for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19" w:name="_Toc158006516"/>
      <w:r w:rsidRPr="00812C16">
        <w:t>Diagnostik</w:t>
      </w:r>
      <w:r w:rsidR="0064437B" w:rsidRPr="00812C16">
        <w:t xml:space="preserve"> &amp; Staging</w:t>
      </w:r>
      <w:bookmarkEnd w:id="19"/>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Die Rolle der Fluorodeoxyglucose (FDG)-PET/CT-Untersuchung wird immer wichtiger, insbesondere zum Ausschluss einer Metastasierung sowie zur Kontrolle des Therapieansprechens nach einer defintiven Radio(-chemo)therapie. Ebenso ist die Überwachung mittels PET-CT kostengünstiger und verursacht weniger Folgeoperationen als eine Ausräumung der Halslymphknoten (Neck-Dissection)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0" w:name="_Toc158006517"/>
      <w:r w:rsidRPr="00812C16">
        <w:t>Therapie</w:t>
      </w:r>
      <w:bookmarkEnd w:id="20"/>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Neck-Dissection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Tumorrepopulation und einer möglichen Mikrometastasierung vorgebeugt. Des Weiteren dienen Chemotherapeutika durch Radiosensitivierung zur Wirkungsverstärkung der Strahlentherapie [39, 40]. Wenn ca. zwölf Wochen nach Abschluss einer primären Radio(-chemo)therapie bildgebend noch pathologische Lymphknoten nachweisbar sind, sollte eine Salvage- bzw. Rettungsoperation evaluiert werden, in der die Lymphknoten ausgeräumt werden (sog. „node picking“).</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In verschiedenen Studien, u.a. in denen von Horiot et al. und Fu et al. wurde bislang aufgezeigt, dass die Hyperfraktionierung und die Akzeleration bezüglich der lokoregionären Kontrollrate und des krankheitsfreien Überlebens eine Verbesserung der Prognose herbeiführen. Es bestand kein signifikanter Unterschied zur konventionellen Fraktionierung im Hinblick auf die Ausprägung der Spättoxizitäten, mit Ausnahme bei der Kombination aus Akzelerierung und konkomitantem Boost, bei der ein Anstieg der Spättoxizität zu verzeichnen war. [42, 43] Allerdings ist bei einer Hyperfraktionierung mit einer stärkeren Ausprägung der Akuttoxizitäten, insbesondere der Mukositis, zu rechnen. [42, 44].</w:t>
      </w:r>
    </w:p>
    <w:p w14:paraId="47FEB1D5" w14:textId="77777777" w:rsidR="002F01F1" w:rsidRPr="00812C16" w:rsidRDefault="002F01F1" w:rsidP="002F01F1">
      <w:pPr>
        <w:rPr>
          <w:rFonts w:cs="Arial"/>
        </w:rPr>
      </w:pPr>
      <w:r w:rsidRPr="00812C16">
        <w:rPr>
          <w:rFonts w:cs="Arial"/>
        </w:rPr>
        <w:t>Seit Einführung der Radiochemotherapie ist jedoch meist die Normo- fraktionierung mit simultaner Chemotherapie Standard. [45]</w:t>
      </w:r>
    </w:p>
    <w:p w14:paraId="10F90C4D" w14:textId="77777777" w:rsidR="002F01F1" w:rsidRPr="00812C16" w:rsidRDefault="002F01F1" w:rsidP="002F01F1">
      <w:pPr>
        <w:rPr>
          <w:rFonts w:cs="Arial"/>
          <w:i/>
          <w:iCs/>
        </w:rPr>
      </w:pPr>
      <w:r w:rsidRPr="00812C16">
        <w:rPr>
          <w:rFonts w:cs="Arial"/>
          <w:i/>
          <w:iCs/>
        </w:rPr>
        <w:t>Adjuvante Radio(-chemo)therapie</w:t>
      </w:r>
    </w:p>
    <w:p w14:paraId="3D59AA3C" w14:textId="77777777" w:rsidR="002F01F1" w:rsidRPr="00812C16" w:rsidRDefault="002F01F1" w:rsidP="002F01F1">
      <w:pPr>
        <w:rPr>
          <w:rFonts w:cs="Arial"/>
        </w:rPr>
      </w:pPr>
      <w:r w:rsidRPr="00812C16">
        <w:rPr>
          <w:rFonts w:cs="Arial"/>
        </w:rPr>
        <w:t>Eine postoperative adjuvante Radiotherapie ist indiziert in lokal fortgeschrittenen Tumorstadien (≥pT3), bei Lymphknotenbefall &gt;pN1, einer Lymphangiosis und Hämangiosis carcinomatosa sowie bei Perineuralscheideninfiltration. [32] Hierbei wird die normofraktionierte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Tumoregion, sollte die Aufsättigung mittels Boost auf eine Gesamtdosis von mindestens 63,0 Gy erfolgen. [47]</w:t>
      </w:r>
    </w:p>
    <w:p w14:paraId="495E4044" w14:textId="77777777" w:rsidR="002F01F1" w:rsidRPr="00812C16" w:rsidRDefault="002F01F1" w:rsidP="002F01F1">
      <w:pPr>
        <w:rPr>
          <w:rFonts w:cs="Arial"/>
        </w:rPr>
      </w:pPr>
      <w:r w:rsidRPr="00812C16">
        <w:rPr>
          <w:rFonts w:cs="Arial"/>
        </w:rPr>
        <w:t>Die von Fietkau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level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aufgesättigt.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Nach der von Fietkau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Chemotherapieschema in unserem Institut für Patienten mitadjuvanter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Es wurde gezeigt, dass die simultane Gabe der Chemotherapie im Vergleich zur Induktions- und Erhaltungschemotherapie einen deutlichen Überlebensvorteil herbeiführt [40, 52, 53]. Bevorzugt verwendete Substanzen sind hierbei Cisplatin/Carboplatin, 5-Fluoruracil, Mitomycin, Paclitaxel und der EGFR- Antagonist Cetuximab [32, 54]. Cisplatin bleibt derzeit jedoch die wichtigste Substanz [40]. Die simultane Radiochemotherapie führt zu einem verbesserten Gesamtüberleben, progressionsfreien Überleben und zu einer höheren lokoregionären Kontrollrate bei Patienten, die postoperativ einen mikro- skopischen Tumornachweis (R1) oder eine extrakapsuläre Tumorausbreitung aufweisen [55-57].</w:t>
      </w:r>
    </w:p>
    <w:p w14:paraId="300F811E" w14:textId="77777777" w:rsidR="002F01F1" w:rsidRPr="00812C16" w:rsidRDefault="002F01F1" w:rsidP="002F01F1">
      <w:pPr>
        <w:rPr>
          <w:rFonts w:cs="Arial"/>
        </w:rPr>
      </w:pPr>
      <w:r w:rsidRPr="00812C16">
        <w:rPr>
          <w:rFonts w:cs="Arial"/>
        </w:rPr>
        <w:t>Die Kombination führt allerdings auch zu höhergradigeren Toxizitäten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Zu den radiogen bedingten Akuttoxizitäten zählen Mukositis, Dermatitis und Dysphagie. Als Spättoxizitäten sind insbesondere Xerostomie und der damit einhergehende Kariesbefall zu nennen. Darüber hinaus treten als mögliche Spättoxizitäten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1" w:name="_Toc158006518"/>
      <w:r w:rsidRPr="00812C16">
        <w:lastRenderedPageBreak/>
        <w:t>Prognose</w:t>
      </w:r>
      <w:bookmarkEnd w:id="21"/>
    </w:p>
    <w:p w14:paraId="2EB10CDC" w14:textId="77777777" w:rsidR="002F01F1" w:rsidRPr="00812C16" w:rsidRDefault="002F01F1" w:rsidP="002F01F1">
      <w:pPr>
        <w:rPr>
          <w:rFonts w:cs="Arial"/>
        </w:rPr>
      </w:pPr>
      <w:r w:rsidRPr="00812C16">
        <w:rPr>
          <w:rFonts w:cs="Arial"/>
        </w:rPr>
        <w:t>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Supraglottis (50,4%) die niedrigste.</w:t>
      </w:r>
    </w:p>
    <w:p w14:paraId="59471F13" w14:textId="77777777" w:rsidR="002F01F1" w:rsidRPr="00812C16" w:rsidRDefault="002F01F1" w:rsidP="002F01F1">
      <w:pPr>
        <w:rPr>
          <w:rFonts w:cs="Arial"/>
        </w:rPr>
      </w:pPr>
      <w:r w:rsidRPr="00812C16">
        <w:rPr>
          <w:rFonts w:cs="Arial"/>
        </w:rPr>
        <w:t>Die Glottis- (36,3%) und Lippenkarzinome (38,7%) sind auch im Stadium IV diejenigen mit den höchsten Überlebensraten, die Karzinome des Hypopharynx (20,3%) und der Mundhöhle (26,5%) haben die schlechteste Prognose. Karzinome, die wie das Glottiskarzinom oder das Lippenkarzinom früh auffällig werden, weisen ein deutlich besseres Gesamtüberleben auf, als solche, die keine Frühsymptome verursachen und eine frühe Metastasierung aufzeigen, wie beispielsweise das Hypopharynxkarzinom.</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1B0C493"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Mundhöhle,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Thompson, 2006</w:t>
      </w:r>
      <w:r w:rsidR="000112D9">
        <w:rPr>
          <w:rFonts w:cs="Arial"/>
          <w:noProof/>
        </w:rPr>
        <w:t>)</w:t>
      </w:r>
      <w:r w:rsidR="000112D9">
        <w:rPr>
          <w:rFonts w:cs="Arial"/>
        </w:rPr>
        <w:fldChar w:fldCharType="end"/>
      </w:r>
      <w:r w:rsidRPr="00812C16">
        <w:rPr>
          <w:rFonts w:cs="Arial"/>
        </w:rPr>
        <w:t>. Für die betroffenen Patienten hat sich die Prognose über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über-behandelt. Deshalb ist es wichtig, geeignete klinische Parameter und biologische Eigenschaften des Tumorgewebes zur besseren Prognoseeinschätzung und damit zur individuellen Therapieoptimierung zu finden. Bisher liefern klinische Parameter wie Staging, Grading und Tumorlokalisation die wichtigsten Informationen für die Prognoseschätzung und dienen als Rationale für die geplante Therapie. Allerdings lassen sich diese Parameter nur schwer auf den individuellen Patienten übertragen. So beobachten Kliniker nicht selten, dass zwei Patienten mit der gleichen Tumorentität und analogem Staging und Grading einen sehr unterschiedlichen klinischen Verlauf bezüglich Überleben,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Baumann &amp; Krause, 2010</w:t>
      </w:r>
      <w:r w:rsidR="000112D9">
        <w:rPr>
          <w:rFonts w:cs="Arial"/>
          <w:noProof/>
        </w:rPr>
        <w:t>)</w:t>
      </w:r>
      <w:r w:rsidR="000112D9">
        <w:rPr>
          <w:rFonts w:cs="Arial"/>
        </w:rPr>
        <w:fldChar w:fldCharType="end"/>
      </w:r>
      <w:r w:rsidRPr="00812C16">
        <w:rPr>
          <w:rFonts w:cs="Arial"/>
        </w:rPr>
        <w:t xml:space="preserve">. </w:t>
      </w:r>
    </w:p>
    <w:p w14:paraId="759C56C2" w14:textId="0DCF250F" w:rsidR="00F94146" w:rsidRPr="00812C16" w:rsidRDefault="00A22F14" w:rsidP="005E68BA">
      <w:pPr>
        <w:rPr>
          <w:rFonts w:cs="Arial"/>
        </w:rPr>
      </w:pPr>
      <w:r w:rsidRPr="00812C16">
        <w:rPr>
          <w:rFonts w:cs="Arial"/>
        </w:rPr>
        <w:t xml:space="preserve">Es ist bekannt, dass Tumorstammzellen bei der Entwicklung von Resistenzen gegenüber Strahlen-/Chemotherapie eine entscheidende Rolle spielen können. Diese Zellpopulationen besitzen die Fähigkeit zur Initiierung von Tumoren und Metastasen und stellen somit potentielle Ansatzpunkte für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okalen sowie lo</w:t>
      </w:r>
      <w:r w:rsidR="00013ED6" w:rsidRPr="00812C16">
        <w:rPr>
          <w:rFonts w:cs="Arial"/>
        </w:rPr>
        <w:t>koregionären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lymphbahnen. Diese Tumorzellen können ohne eine Strahlentherapie proliferieren und den um Ursprung einer Logo Region ehren rezidivs darstellen.es ist bekannt dass die postoperative Strahlentherapie in der Lage ist Komma dass Marco Regioni Rezidivrisiko zu senken und das Überleben zu verbessern bereits in den 1970er Jahren wurde im Rahmen der Ertug 73 -03 studie die Effekte einer Präoperativen postoperativen und definitiven strahlentherapie auf mundhöhle opa</w:t>
      </w:r>
    </w:p>
    <w:p w14:paraId="58FE2BBA" w14:textId="77777777" w:rsidR="00013ED6" w:rsidRPr="00812C16" w:rsidRDefault="00013ED6" w:rsidP="005E68BA">
      <w:pPr>
        <w:rPr>
          <w:rFonts w:cs="Arial"/>
        </w:rPr>
      </w:pPr>
    </w:p>
    <w:p w14:paraId="29E0545D" w14:textId="1DF81F53"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Bernier et al., 2005</w:t>
      </w:r>
      <w:r w:rsidR="000112D9">
        <w:rPr>
          <w:rFonts w:cs="Arial"/>
          <w:noProof/>
        </w:rPr>
        <w:t xml:space="preserve">; </w:t>
      </w:r>
      <w:r w:rsidR="009D0F7A" w:rsidRPr="00DF25A8">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22" w:name="_Toc158006519"/>
      <w:r w:rsidRPr="00812C16">
        <w:rPr>
          <w:rFonts w:cs="Arial"/>
        </w:rPr>
        <w:lastRenderedPageBreak/>
        <w:t xml:space="preserve">Tumorstammzellen </w:t>
      </w:r>
      <w:r w:rsidR="003F323B" w:rsidRPr="00812C16">
        <w:rPr>
          <w:rFonts w:cs="Arial"/>
        </w:rPr>
        <w:t>&amp; Tumorstammzelltheorie</w:t>
      </w:r>
      <w:bookmarkEnd w:id="22"/>
      <w:r w:rsidR="003F323B" w:rsidRPr="00812C16">
        <w:rPr>
          <w:rFonts w:cs="Arial"/>
        </w:rPr>
        <w:t xml:space="preserve"> </w:t>
      </w:r>
    </w:p>
    <w:p w14:paraId="47C14D7F" w14:textId="7DC545D7" w:rsidR="00701518" w:rsidRPr="00812C16" w:rsidRDefault="004E53FF" w:rsidP="004E53FF">
      <w:pPr>
        <w:rPr>
          <w:lang w:eastAsia="de-DE"/>
        </w:rPr>
      </w:pPr>
      <w:r w:rsidRPr="00812C16">
        <w:rPr>
          <w:lang w:eastAsia="de-DE"/>
        </w:rPr>
        <w:t xml:space="preserve">In den letzten Jahren ist eine Subpopulation an Zellen in den Fokus der onkologischen Forschung gerückt. Diese sogenannten Tumorstammzellen oder Krebsstammzellen (cancer stem cells,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Krause et al., 2011</w:t>
      </w:r>
      <w:r w:rsidR="000112D9">
        <w:rPr>
          <w:noProof/>
          <w:lang w:eastAsia="de-DE"/>
        </w:rPr>
        <w:t xml:space="preserve">; </w:t>
      </w:r>
      <w:r w:rsidR="009D0F7A" w:rsidRPr="00DF25A8">
        <w:t>Wicha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Mack &amp; Gires,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(Fern)metastasen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Ailles &amp; Prince, 2009</w:t>
      </w:r>
      <w:r w:rsidR="000112D9">
        <w:rPr>
          <w:noProof/>
          <w:lang w:eastAsia="de-DE"/>
        </w:rPr>
        <w:t>)</w:t>
      </w:r>
      <w:r w:rsidR="000112D9">
        <w:rPr>
          <w:lang w:eastAsia="de-DE"/>
        </w:rPr>
        <w:fldChar w:fldCharType="end"/>
      </w:r>
      <w:r w:rsidR="006E2E27" w:rsidRPr="00812C16">
        <w:rPr>
          <w:lang w:eastAsia="de-DE"/>
        </w:rPr>
        <w:t>. Der Arbeitskreis der American Association for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Prince und Kollegen nutzten hierfür den CSC-Marker CD44, womit ihnen die Anreicherung einer Subpopulation an Tumorzellen gelang, die in der Reihentransplantation in der Lage waren, in immunsupprimierten Mäusen neue Tumore zu formen, wohingegen das tumorgene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w:t>
      </w:r>
      <w:r w:rsidR="00E04A5B" w:rsidRPr="00812C16">
        <w:rPr>
          <w:lang w:eastAsia="de-DE"/>
        </w:rPr>
        <w:lastRenderedPageBreak/>
        <w:t xml:space="preserve">verschiedener CSC-Marker wie CD133 und ALDH1 Korrelationen zwischen dem 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Chen et al., 2010</w:t>
      </w:r>
      <w:r w:rsidR="000112D9">
        <w:rPr>
          <w:noProof/>
          <w:lang w:eastAsia="de-DE"/>
        </w:rPr>
        <w:t xml:space="preserve">; </w:t>
      </w:r>
      <w:r w:rsidR="009D0F7A" w:rsidRPr="00DF25A8">
        <w:t>de Jong et al., 2010</w:t>
      </w:r>
      <w:r w:rsidR="000112D9">
        <w:rPr>
          <w:noProof/>
          <w:lang w:eastAsia="de-DE"/>
        </w:rPr>
        <w:t xml:space="preserve">; </w:t>
      </w:r>
      <w:r w:rsidR="009D0F7A" w:rsidRPr="00DF25A8">
        <w:t>Ginestier et al., 2007</w:t>
      </w:r>
      <w:r w:rsidR="000112D9">
        <w:rPr>
          <w:noProof/>
          <w:lang w:eastAsia="de-DE"/>
        </w:rPr>
        <w:t xml:space="preserve">; </w:t>
      </w:r>
      <w:r w:rsidR="009D0F7A" w:rsidRPr="00DF25A8">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0B25AD4" w:rsidR="00F94146" w:rsidRPr="00812C16" w:rsidRDefault="00464374" w:rsidP="009875AF">
      <w:pPr>
        <w:shd w:val="clear" w:color="auto" w:fill="FFFF00"/>
        <w:rPr>
          <w:rFonts w:cs="Arial"/>
        </w:rPr>
      </w:pPr>
      <w:r w:rsidRPr="00812C16">
        <w:rPr>
          <w:rFonts w:cs="Arial"/>
        </w:rPr>
        <w:t xml:space="preserve">Tumorstammzellen (cancer stem cells) sind definiert als die einzigen Zellen eines malignenTumors,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als l“Tumor-initiierende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Tumorzellen mit Stammzelleigenschaften sind durch eine phänotypische Plastizität charakterisiert, sie können sich in Nicht- Stammzellen und vice versa umwandeln Die Aktivierung erfolgt dabei häufig über genetische Mutationen, was wiederum zu verschiedenen klonalen Subpopulationen und folglich zum hetero- genen Therapieansprechen bis hin zur Therapieresistenz führen kann (Plaks et al , 2015). Zudem können die Tumorstammzellen auch in einen vorübergehenden ruhenden Zustand eintreten und sich somit der Therapie entziehen (Kreso et al., 2013).</w:t>
      </w:r>
    </w:p>
    <w:p w14:paraId="2EBD7229" w14:textId="77777777" w:rsidR="004E53FF" w:rsidRPr="00812C16" w:rsidRDefault="004E53FF" w:rsidP="00530223">
      <w:pPr>
        <w:jc w:val="left"/>
        <w:rPr>
          <w:rFonts w:cs="Arial"/>
        </w:rPr>
        <w:sectPr w:rsidR="004E53FF" w:rsidRPr="00812C16" w:rsidSect="00AB18EC">
          <w:headerReference w:type="default" r:id="rId13"/>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23" w:name="_Toc158006520"/>
      <w:r w:rsidRPr="00812C16">
        <w:rPr>
          <w:rFonts w:cs="Arial"/>
        </w:rPr>
        <w:t>Tumorstammzellen als Biomarker für die Individualisierung in der Strahlentherapie</w:t>
      </w:r>
      <w:bookmarkEnd w:id="23"/>
      <w:r w:rsidRPr="00812C16">
        <w:rPr>
          <w:rFonts w:cs="Arial"/>
        </w:rPr>
        <w:t xml:space="preserve"> </w:t>
      </w:r>
    </w:p>
    <w:p w14:paraId="5EA37D60" w14:textId="73A8C8E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Biomarkers Definitions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für das Prostatakarzinom. Zudem werden zunehmend Biomarkersignaturen entwickelt, die aus mehreren einzelnen Biomarken bestehen und damit insbesondere die lntertumorale Heterogenität verschiedener Parameter potentiell besser abbilden können (Abraham et al., 2010, Wu et al., 2012, Yaromina et al., 2012, Marioni et al.. 2014). </w:t>
      </w:r>
    </w:p>
    <w:p w14:paraId="410DB646" w14:textId="77777777" w:rsidR="003F323B" w:rsidRPr="00812C16" w:rsidRDefault="003F323B" w:rsidP="003F323B">
      <w:pPr>
        <w:shd w:val="clear" w:color="auto" w:fill="FFFF00"/>
        <w:rPr>
          <w:rFonts w:cs="Arial"/>
        </w:rPr>
      </w:pPr>
      <w:r w:rsidRPr="00812C16">
        <w:rPr>
          <w:rFonts w:cs="Arial"/>
        </w:rPr>
        <w:lastRenderedPageBreak/>
        <w:t>Prinzipiell wird zwischen prognostischen und prädiktiven Biomarkem unterschieden. Prognos- tische Blomarker infonnieren über den voraussichtlich zu erwartenden Verlauf der Erkrankung (McGuire und Clark, 1992. Oldenhuis et al., 2008, Ballman, 2015, Califf, 2018). Dagegen werden Biomarker als prädiktiv bezeichnet, wenn sich der Erfolg einer spezifischen Behandlung zwischen Biomarl&lt;er-positiven und -negativen Patienten signifikant unterscheidet (Oldenhuis et al., 2008. Ballman. 2015). Die Identifikation eines prädiktiven Biomarkers erfolgt an Interventionsstudien, die den Therapieerfolg zwischen mindestens zwei Behandlungsarmen, dem Standardtherapie- Arm und einem experimentellen Arm, vergleichen (Ballman, 2015). Zudem können Biomarker so- wohl einen prognostischen als auch einen prädiktlven Wert besitzen, wenn Biomarl&lt;er-positive Übersichtsarbeit wird zusammengefasst, dass Zellen mit einer hohen p53-Wildtyp-E.xpressK&gt;n meistens rad1osensit1verals solche mit einer niedngeren p53-Express1onsind (Llu et al. 2018). In einer präkhnischen Studie an 20 Kopf-Hals-Tumorzellhnien konnte aber auch gezeigt werden, dass p53-mutierte Zellen zum Tell durch eine erhöhte Strahlensensitivität charaktensiert sein kön- nen, wobei die Strahlenempfindlichkeit stark abhängig ist von der Mutat1onsartsowie von der Lo- kalisation der Mutation (Servomaa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(Lindenbergh-van der Plas et al , 2011, Sano et al . 2011). In einer weiteren Studie an Patienten mit Kopf-Hals-Plattenep1thelkarzinomen konnte gezeigt werden, dass strukturverändemde Muta- tionen Ober die Inhibierung der Seneszenz zu einer erhöhten Strahlenresistenz und folglich zu emer hohen Lokalrez1divrateführen können (Skinner et al., 2012). Diese Daten (v1desupra) ste- hen im Widerspruch zu einer früheren präklinischen Arbeit an 24 Kopf-Hals-Tumorzellhnien, die keine Assoziation zwischen der Strahlensensitivität und dem Mutationstyp oder der Lokalisallon der Mutation zeigen konnte (Brachman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supra) dar Darüber hinaus sind Kopf-Hals- Plattenepithelkarzinome, die sich auf eine HPV-lnfektion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24" w:name="_Toc158006521"/>
      <w:r>
        <w:rPr>
          <w:shd w:val="clear" w:color="auto" w:fill="242424"/>
        </w:rPr>
        <w:lastRenderedPageBreak/>
        <w:t>Forschungsstand und Forschungslücken</w:t>
      </w:r>
      <w:bookmarkEnd w:id="24"/>
    </w:p>
    <w:p w14:paraId="66F6E3EA" w14:textId="0D2789E0" w:rsidR="00404322" w:rsidRPr="00404322" w:rsidRDefault="00404322" w:rsidP="009278D8">
      <w:pPr>
        <w:pStyle w:val="berschrift3"/>
      </w:pPr>
      <w:bookmarkStart w:id="25" w:name="_Toc158006522"/>
      <w:r w:rsidRPr="00404322">
        <w:t>Aktuelle Erkenntnisse zur Rolle von CD44 in HNSCC</w:t>
      </w:r>
      <w:bookmarkEnd w:id="25"/>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Journal of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26" w:name="_Toc158006523"/>
      <w:r w:rsidRPr="00791609">
        <w:rPr>
          <w:shd w:val="clear" w:color="auto" w:fill="242424"/>
        </w:rPr>
        <w:t>Vorhandene Studien zur CD44-Expression und klinischen Endpunkten bei HNSCC</w:t>
      </w:r>
      <w:bookmarkEnd w:id="26"/>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AnforderungenBrown,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Journal of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27" w:name="_Toc158006524"/>
      <w:r>
        <w:rPr>
          <w:shd w:val="clear" w:color="auto" w:fill="242424"/>
        </w:rPr>
        <w:t>Forschungslücken</w:t>
      </w:r>
      <w:bookmarkEnd w:id="27"/>
      <w:r>
        <w:rPr>
          <w:shd w:val="clear" w:color="auto" w:fill="242424"/>
        </w:rPr>
        <w:t xml:space="preserve"> </w:t>
      </w:r>
    </w:p>
    <w:bookmarkEnd w:id="0"/>
    <w:bookmarkEnd w:id="1"/>
    <w:bookmarkEnd w:id="2"/>
    <w:p w14:paraId="479EACFC" w14:textId="4F631328" w:rsidR="00A22F14" w:rsidRPr="00812C16" w:rsidRDefault="00A22F14" w:rsidP="00530223">
      <w:pPr>
        <w:jc w:val="left"/>
        <w:rPr>
          <w:rFonts w:cs="Arial"/>
        </w:rPr>
      </w:pPr>
    </w:p>
    <w:sectPr w:rsidR="00A22F14" w:rsidRPr="00812C16" w:rsidSect="00E46BDE">
      <w:type w:val="continuous"/>
      <w:pgSz w:w="11906" w:h="16838"/>
      <w:pgMar w:top="1418" w:right="1418" w:bottom="1134" w:left="1418"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7B475" w14:textId="77777777" w:rsidR="00ED61EF" w:rsidRDefault="00ED61EF" w:rsidP="00C43807">
      <w:pPr>
        <w:spacing w:line="240" w:lineRule="auto"/>
      </w:pPr>
      <w:r>
        <w:separator/>
      </w:r>
    </w:p>
  </w:endnote>
  <w:endnote w:type="continuationSeparator" w:id="0">
    <w:p w14:paraId="006DF1E7" w14:textId="77777777" w:rsidR="00ED61EF" w:rsidRDefault="00ED61EF" w:rsidP="00C43807">
      <w:pPr>
        <w:spacing w:line="240" w:lineRule="auto"/>
      </w:pPr>
      <w:r>
        <w:continuationSeparator/>
      </w:r>
    </w:p>
  </w:endnote>
  <w:endnote w:type="continuationNotice" w:id="1">
    <w:p w14:paraId="508C0622" w14:textId="77777777" w:rsidR="00ED61EF" w:rsidRDefault="00ED61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099C7" w14:textId="77777777" w:rsidR="00ED61EF" w:rsidRDefault="00ED61EF" w:rsidP="00C43807">
      <w:pPr>
        <w:spacing w:line="240" w:lineRule="auto"/>
      </w:pPr>
      <w:r>
        <w:separator/>
      </w:r>
    </w:p>
  </w:footnote>
  <w:footnote w:type="continuationSeparator" w:id="0">
    <w:p w14:paraId="73E4352C" w14:textId="77777777" w:rsidR="00ED61EF" w:rsidRDefault="00ED61EF" w:rsidP="00C43807">
      <w:pPr>
        <w:spacing w:line="240" w:lineRule="auto"/>
      </w:pPr>
      <w:r>
        <w:continuationSeparator/>
      </w:r>
    </w:p>
  </w:footnote>
  <w:footnote w:type="continuationNotice" w:id="1">
    <w:p w14:paraId="5F024D52" w14:textId="77777777" w:rsidR="00ED61EF" w:rsidRDefault="00ED61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2AA"/>
    <w:multiLevelType w:val="multilevel"/>
    <w:tmpl w:val="ACE0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C5D60"/>
    <w:multiLevelType w:val="multilevel"/>
    <w:tmpl w:val="D2E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67320"/>
    <w:multiLevelType w:val="multilevel"/>
    <w:tmpl w:val="A870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303B9"/>
    <w:multiLevelType w:val="multilevel"/>
    <w:tmpl w:val="DE4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B71AD"/>
    <w:multiLevelType w:val="multilevel"/>
    <w:tmpl w:val="B3BC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E52BF"/>
    <w:multiLevelType w:val="multilevel"/>
    <w:tmpl w:val="5B36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E136E"/>
    <w:multiLevelType w:val="multilevel"/>
    <w:tmpl w:val="28C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B0451"/>
    <w:multiLevelType w:val="multilevel"/>
    <w:tmpl w:val="AD62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23B12"/>
    <w:multiLevelType w:val="multilevel"/>
    <w:tmpl w:val="CEA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62C634A"/>
    <w:multiLevelType w:val="multilevel"/>
    <w:tmpl w:val="9BF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12" w15:restartNumberingAfterBreak="0">
    <w:nsid w:val="06C601EE"/>
    <w:multiLevelType w:val="multilevel"/>
    <w:tmpl w:val="7D6AE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E2514"/>
    <w:multiLevelType w:val="multilevel"/>
    <w:tmpl w:val="7652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4A40B9"/>
    <w:multiLevelType w:val="multilevel"/>
    <w:tmpl w:val="6468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D15CFD"/>
    <w:multiLevelType w:val="multilevel"/>
    <w:tmpl w:val="4044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703382"/>
    <w:multiLevelType w:val="multilevel"/>
    <w:tmpl w:val="821C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0592A"/>
    <w:multiLevelType w:val="multilevel"/>
    <w:tmpl w:val="DC3E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35799"/>
    <w:multiLevelType w:val="multilevel"/>
    <w:tmpl w:val="AA0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462D0"/>
    <w:multiLevelType w:val="multilevel"/>
    <w:tmpl w:val="2B28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3571C4"/>
    <w:multiLevelType w:val="multilevel"/>
    <w:tmpl w:val="596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0579D"/>
    <w:multiLevelType w:val="multilevel"/>
    <w:tmpl w:val="CF68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36D8C"/>
    <w:multiLevelType w:val="multilevel"/>
    <w:tmpl w:val="B22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0A0454"/>
    <w:multiLevelType w:val="multilevel"/>
    <w:tmpl w:val="83F8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750E25"/>
    <w:multiLevelType w:val="multilevel"/>
    <w:tmpl w:val="B6BC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92330"/>
    <w:multiLevelType w:val="hybridMultilevel"/>
    <w:tmpl w:val="535EA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11145D8A"/>
    <w:multiLevelType w:val="multilevel"/>
    <w:tmpl w:val="A1CA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1E55B3"/>
    <w:multiLevelType w:val="multilevel"/>
    <w:tmpl w:val="166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BC74FC"/>
    <w:multiLevelType w:val="multilevel"/>
    <w:tmpl w:val="872A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236672"/>
    <w:multiLevelType w:val="multilevel"/>
    <w:tmpl w:val="E31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D45E3D"/>
    <w:multiLevelType w:val="multilevel"/>
    <w:tmpl w:val="3702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B6D8B"/>
    <w:multiLevelType w:val="hybridMultilevel"/>
    <w:tmpl w:val="63EE1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5325102"/>
    <w:multiLevelType w:val="multilevel"/>
    <w:tmpl w:val="FD9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3158E"/>
    <w:multiLevelType w:val="multilevel"/>
    <w:tmpl w:val="34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462233"/>
    <w:multiLevelType w:val="multilevel"/>
    <w:tmpl w:val="6FF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660DE2"/>
    <w:multiLevelType w:val="multilevel"/>
    <w:tmpl w:val="783A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7" w15:restartNumberingAfterBreak="0">
    <w:nsid w:val="18B62C78"/>
    <w:multiLevelType w:val="multilevel"/>
    <w:tmpl w:val="8BA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307614"/>
    <w:multiLevelType w:val="multilevel"/>
    <w:tmpl w:val="50D0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D5156"/>
    <w:multiLevelType w:val="multilevel"/>
    <w:tmpl w:val="253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000597"/>
    <w:multiLevelType w:val="multilevel"/>
    <w:tmpl w:val="482A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D619F0"/>
    <w:multiLevelType w:val="multilevel"/>
    <w:tmpl w:val="988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730FAF"/>
    <w:multiLevelType w:val="multilevel"/>
    <w:tmpl w:val="E40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30AE1"/>
    <w:multiLevelType w:val="multilevel"/>
    <w:tmpl w:val="143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7E2CB4"/>
    <w:multiLevelType w:val="multilevel"/>
    <w:tmpl w:val="7324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7A53D2"/>
    <w:multiLevelType w:val="multilevel"/>
    <w:tmpl w:val="ABD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D03F3"/>
    <w:multiLevelType w:val="multilevel"/>
    <w:tmpl w:val="6B16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6C14D7"/>
    <w:multiLevelType w:val="multilevel"/>
    <w:tmpl w:val="4004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21626437"/>
    <w:multiLevelType w:val="multilevel"/>
    <w:tmpl w:val="A742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A1603B"/>
    <w:multiLevelType w:val="multilevel"/>
    <w:tmpl w:val="124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8C1502"/>
    <w:multiLevelType w:val="multilevel"/>
    <w:tmpl w:val="21B8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193F2B"/>
    <w:multiLevelType w:val="multilevel"/>
    <w:tmpl w:val="243A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E45402"/>
    <w:multiLevelType w:val="multilevel"/>
    <w:tmpl w:val="5422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04201B"/>
    <w:multiLevelType w:val="multilevel"/>
    <w:tmpl w:val="A8F4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520665"/>
    <w:multiLevelType w:val="multilevel"/>
    <w:tmpl w:val="0F0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B367C5"/>
    <w:multiLevelType w:val="multilevel"/>
    <w:tmpl w:val="6D12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A35B97"/>
    <w:multiLevelType w:val="multilevel"/>
    <w:tmpl w:val="CF46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E402C0"/>
    <w:multiLevelType w:val="multilevel"/>
    <w:tmpl w:val="680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311181"/>
    <w:multiLevelType w:val="multilevel"/>
    <w:tmpl w:val="7166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E807D7"/>
    <w:multiLevelType w:val="multilevel"/>
    <w:tmpl w:val="061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A2DE0"/>
    <w:multiLevelType w:val="multilevel"/>
    <w:tmpl w:val="3AEE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EB5DA0"/>
    <w:multiLevelType w:val="multilevel"/>
    <w:tmpl w:val="123E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D555C6"/>
    <w:multiLevelType w:val="multilevel"/>
    <w:tmpl w:val="C83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034F6F"/>
    <w:multiLevelType w:val="multilevel"/>
    <w:tmpl w:val="4816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825A6B"/>
    <w:multiLevelType w:val="multilevel"/>
    <w:tmpl w:val="1DB4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D52CF2"/>
    <w:multiLevelType w:val="multilevel"/>
    <w:tmpl w:val="11D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200A42"/>
    <w:multiLevelType w:val="multilevel"/>
    <w:tmpl w:val="61FC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921A5B"/>
    <w:multiLevelType w:val="multilevel"/>
    <w:tmpl w:val="7C2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821000"/>
    <w:multiLevelType w:val="multilevel"/>
    <w:tmpl w:val="927C464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0" w15:restartNumberingAfterBreak="0">
    <w:nsid w:val="33E05BA3"/>
    <w:multiLevelType w:val="multilevel"/>
    <w:tmpl w:val="739EF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F428C9"/>
    <w:multiLevelType w:val="multilevel"/>
    <w:tmpl w:val="C240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DD184C"/>
    <w:multiLevelType w:val="multilevel"/>
    <w:tmpl w:val="9A1C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F47CF1"/>
    <w:multiLevelType w:val="multilevel"/>
    <w:tmpl w:val="0E4C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3675CD"/>
    <w:multiLevelType w:val="multilevel"/>
    <w:tmpl w:val="3198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AF0C0F"/>
    <w:multiLevelType w:val="multilevel"/>
    <w:tmpl w:val="927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1B4037"/>
    <w:multiLevelType w:val="multilevel"/>
    <w:tmpl w:val="736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BD1461"/>
    <w:multiLevelType w:val="multilevel"/>
    <w:tmpl w:val="F69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B05E09"/>
    <w:multiLevelType w:val="multilevel"/>
    <w:tmpl w:val="A7EA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EB522F"/>
    <w:multiLevelType w:val="multilevel"/>
    <w:tmpl w:val="1952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8A2156"/>
    <w:multiLevelType w:val="multilevel"/>
    <w:tmpl w:val="399C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E663CC"/>
    <w:multiLevelType w:val="multilevel"/>
    <w:tmpl w:val="8B90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371763"/>
    <w:multiLevelType w:val="multilevel"/>
    <w:tmpl w:val="AA6C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AC0E69"/>
    <w:multiLevelType w:val="multilevel"/>
    <w:tmpl w:val="2422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29442D"/>
    <w:multiLevelType w:val="multilevel"/>
    <w:tmpl w:val="7FCA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BB3350"/>
    <w:multiLevelType w:val="multilevel"/>
    <w:tmpl w:val="96DA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E8701D"/>
    <w:multiLevelType w:val="multilevel"/>
    <w:tmpl w:val="9D2A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F31EBB"/>
    <w:multiLevelType w:val="multilevel"/>
    <w:tmpl w:val="5F5C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650440"/>
    <w:multiLevelType w:val="multilevel"/>
    <w:tmpl w:val="8E2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8704E3"/>
    <w:multiLevelType w:val="multilevel"/>
    <w:tmpl w:val="35F6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8A62BE"/>
    <w:multiLevelType w:val="multilevel"/>
    <w:tmpl w:val="B9E2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AF6B82"/>
    <w:multiLevelType w:val="multilevel"/>
    <w:tmpl w:val="3552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F455C9"/>
    <w:multiLevelType w:val="multilevel"/>
    <w:tmpl w:val="A186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0418C5"/>
    <w:multiLevelType w:val="multilevel"/>
    <w:tmpl w:val="DF48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4B30FF"/>
    <w:multiLevelType w:val="multilevel"/>
    <w:tmpl w:val="B2D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D82E11"/>
    <w:multiLevelType w:val="multilevel"/>
    <w:tmpl w:val="DA6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142ABB"/>
    <w:multiLevelType w:val="multilevel"/>
    <w:tmpl w:val="021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211088"/>
    <w:multiLevelType w:val="multilevel"/>
    <w:tmpl w:val="E65E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13725B"/>
    <w:multiLevelType w:val="multilevel"/>
    <w:tmpl w:val="96E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A00358"/>
    <w:multiLevelType w:val="hybridMultilevel"/>
    <w:tmpl w:val="EE26E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0" w15:restartNumberingAfterBreak="0">
    <w:nsid w:val="48216B5D"/>
    <w:multiLevelType w:val="multilevel"/>
    <w:tmpl w:val="5E4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C31A23"/>
    <w:multiLevelType w:val="multilevel"/>
    <w:tmpl w:val="B00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C31B69"/>
    <w:multiLevelType w:val="multilevel"/>
    <w:tmpl w:val="6D68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EA7AAE"/>
    <w:multiLevelType w:val="multilevel"/>
    <w:tmpl w:val="706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7F2D97"/>
    <w:multiLevelType w:val="multilevel"/>
    <w:tmpl w:val="6664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4852C4"/>
    <w:multiLevelType w:val="multilevel"/>
    <w:tmpl w:val="FC60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BE7BFC"/>
    <w:multiLevelType w:val="multilevel"/>
    <w:tmpl w:val="8B24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104910"/>
    <w:multiLevelType w:val="multilevel"/>
    <w:tmpl w:val="460E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1B5924"/>
    <w:multiLevelType w:val="multilevel"/>
    <w:tmpl w:val="1858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6A2215"/>
    <w:multiLevelType w:val="multilevel"/>
    <w:tmpl w:val="7398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E1F3141"/>
    <w:multiLevelType w:val="multilevel"/>
    <w:tmpl w:val="8D7A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541969"/>
    <w:multiLevelType w:val="multilevel"/>
    <w:tmpl w:val="FC7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731D14"/>
    <w:multiLevelType w:val="multilevel"/>
    <w:tmpl w:val="996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8E207D"/>
    <w:multiLevelType w:val="multilevel"/>
    <w:tmpl w:val="09DC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A75437"/>
    <w:multiLevelType w:val="multilevel"/>
    <w:tmpl w:val="158C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6" w15:restartNumberingAfterBreak="0">
    <w:nsid w:val="52BD72E6"/>
    <w:multiLevelType w:val="multilevel"/>
    <w:tmpl w:val="7606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482B3B"/>
    <w:multiLevelType w:val="multilevel"/>
    <w:tmpl w:val="6B0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36050B1"/>
    <w:multiLevelType w:val="multilevel"/>
    <w:tmpl w:val="DA48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521720"/>
    <w:multiLevelType w:val="multilevel"/>
    <w:tmpl w:val="C256FD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0" w15:restartNumberingAfterBreak="0">
    <w:nsid w:val="55EC0B7A"/>
    <w:multiLevelType w:val="multilevel"/>
    <w:tmpl w:val="E89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5E1725"/>
    <w:multiLevelType w:val="multilevel"/>
    <w:tmpl w:val="556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F97733"/>
    <w:multiLevelType w:val="multilevel"/>
    <w:tmpl w:val="78E2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041186"/>
    <w:multiLevelType w:val="multilevel"/>
    <w:tmpl w:val="0D3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361688"/>
    <w:multiLevelType w:val="multilevel"/>
    <w:tmpl w:val="0744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D45A48"/>
    <w:multiLevelType w:val="multilevel"/>
    <w:tmpl w:val="8E96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393345"/>
    <w:multiLevelType w:val="multilevel"/>
    <w:tmpl w:val="299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28" w15:restartNumberingAfterBreak="0">
    <w:nsid w:val="63C26086"/>
    <w:multiLevelType w:val="multilevel"/>
    <w:tmpl w:val="666A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607686"/>
    <w:multiLevelType w:val="multilevel"/>
    <w:tmpl w:val="A40E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7A73E2"/>
    <w:multiLevelType w:val="multilevel"/>
    <w:tmpl w:val="CD5C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D14F0A"/>
    <w:multiLevelType w:val="multilevel"/>
    <w:tmpl w:val="DFA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367E5E"/>
    <w:multiLevelType w:val="multilevel"/>
    <w:tmpl w:val="6DF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19703D"/>
    <w:multiLevelType w:val="multilevel"/>
    <w:tmpl w:val="445E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30482D"/>
    <w:multiLevelType w:val="multilevel"/>
    <w:tmpl w:val="57E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B66A41"/>
    <w:multiLevelType w:val="multilevel"/>
    <w:tmpl w:val="1CB6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A42E29"/>
    <w:multiLevelType w:val="multilevel"/>
    <w:tmpl w:val="359C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152439"/>
    <w:multiLevelType w:val="multilevel"/>
    <w:tmpl w:val="D15C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39" w15:restartNumberingAfterBreak="0">
    <w:nsid w:val="6D384BFB"/>
    <w:multiLevelType w:val="multilevel"/>
    <w:tmpl w:val="2F76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6A0D35"/>
    <w:multiLevelType w:val="multilevel"/>
    <w:tmpl w:val="9CC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287E4C"/>
    <w:multiLevelType w:val="multilevel"/>
    <w:tmpl w:val="15FC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A1273D"/>
    <w:multiLevelType w:val="multilevel"/>
    <w:tmpl w:val="FC1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BF0F04"/>
    <w:multiLevelType w:val="multilevel"/>
    <w:tmpl w:val="6084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4F217C"/>
    <w:multiLevelType w:val="multilevel"/>
    <w:tmpl w:val="770E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631722"/>
    <w:multiLevelType w:val="multilevel"/>
    <w:tmpl w:val="376A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944508"/>
    <w:multiLevelType w:val="multilevel"/>
    <w:tmpl w:val="28E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DE5DB6"/>
    <w:multiLevelType w:val="multilevel"/>
    <w:tmpl w:val="CAF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FC4926"/>
    <w:multiLevelType w:val="multilevel"/>
    <w:tmpl w:val="EB7E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B502C5"/>
    <w:multiLevelType w:val="multilevel"/>
    <w:tmpl w:val="DEF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731D3D"/>
    <w:multiLevelType w:val="multilevel"/>
    <w:tmpl w:val="D2E8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B337C2"/>
    <w:multiLevelType w:val="multilevel"/>
    <w:tmpl w:val="BEC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346A19"/>
    <w:multiLevelType w:val="multilevel"/>
    <w:tmpl w:val="3954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8A5C86"/>
    <w:multiLevelType w:val="multilevel"/>
    <w:tmpl w:val="7826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426C0D"/>
    <w:multiLevelType w:val="multilevel"/>
    <w:tmpl w:val="19AC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467A5B"/>
    <w:multiLevelType w:val="multilevel"/>
    <w:tmpl w:val="A0CC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6E7F05"/>
    <w:multiLevelType w:val="multilevel"/>
    <w:tmpl w:val="8760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A1307C"/>
    <w:multiLevelType w:val="multilevel"/>
    <w:tmpl w:val="6D54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8F5125A"/>
    <w:multiLevelType w:val="multilevel"/>
    <w:tmpl w:val="586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1452A1"/>
    <w:multiLevelType w:val="multilevel"/>
    <w:tmpl w:val="3E9A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3A32A8"/>
    <w:multiLevelType w:val="multilevel"/>
    <w:tmpl w:val="15C2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4716DA"/>
    <w:multiLevelType w:val="multilevel"/>
    <w:tmpl w:val="D1F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913108"/>
    <w:multiLevelType w:val="multilevel"/>
    <w:tmpl w:val="923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B17FD8"/>
    <w:multiLevelType w:val="multilevel"/>
    <w:tmpl w:val="AFC0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575B2C"/>
    <w:multiLevelType w:val="multilevel"/>
    <w:tmpl w:val="FEBA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405AC4"/>
    <w:multiLevelType w:val="multilevel"/>
    <w:tmpl w:val="9A8A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4C2F8D"/>
    <w:multiLevelType w:val="multilevel"/>
    <w:tmpl w:val="EFC87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D755066"/>
    <w:multiLevelType w:val="multilevel"/>
    <w:tmpl w:val="27B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A74196"/>
    <w:multiLevelType w:val="multilevel"/>
    <w:tmpl w:val="90A0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DB32172"/>
    <w:multiLevelType w:val="multilevel"/>
    <w:tmpl w:val="8CFC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D933F0"/>
    <w:multiLevelType w:val="multilevel"/>
    <w:tmpl w:val="77B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3518E7"/>
    <w:multiLevelType w:val="multilevel"/>
    <w:tmpl w:val="3B86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AB438A"/>
    <w:multiLevelType w:val="multilevel"/>
    <w:tmpl w:val="91BC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2F7904"/>
    <w:multiLevelType w:val="multilevel"/>
    <w:tmpl w:val="D04C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138"/>
  </w:num>
  <w:num w:numId="2" w16cid:durableId="296035956">
    <w:abstractNumId w:val="36"/>
  </w:num>
  <w:num w:numId="3" w16cid:durableId="1928464292">
    <w:abstractNumId w:val="127"/>
  </w:num>
  <w:num w:numId="4" w16cid:durableId="1104375709">
    <w:abstractNumId w:val="175"/>
  </w:num>
  <w:num w:numId="5" w16cid:durableId="1009911411">
    <w:abstractNumId w:val="140"/>
  </w:num>
  <w:num w:numId="6" w16cid:durableId="305672052">
    <w:abstractNumId w:val="9"/>
  </w:num>
  <w:num w:numId="7" w16cid:durableId="634334900">
    <w:abstractNumId w:val="11"/>
  </w:num>
  <w:num w:numId="8" w16cid:durableId="1734504790">
    <w:abstractNumId w:val="48"/>
  </w:num>
  <w:num w:numId="9" w16cid:durableId="770779014">
    <w:abstractNumId w:val="115"/>
  </w:num>
  <w:num w:numId="10" w16cid:durableId="1588539760">
    <w:abstractNumId w:val="99"/>
  </w:num>
  <w:num w:numId="11" w16cid:durableId="1456556470">
    <w:abstractNumId w:val="31"/>
  </w:num>
  <w:num w:numId="12" w16cid:durableId="545020834">
    <w:abstractNumId w:val="25"/>
  </w:num>
  <w:num w:numId="13" w16cid:durableId="1858232869">
    <w:abstractNumId w:val="37"/>
  </w:num>
  <w:num w:numId="14" w16cid:durableId="1369796794">
    <w:abstractNumId w:val="4"/>
  </w:num>
  <w:num w:numId="15" w16cid:durableId="361446033">
    <w:abstractNumId w:val="72"/>
  </w:num>
  <w:num w:numId="16" w16cid:durableId="233784447">
    <w:abstractNumId w:val="62"/>
  </w:num>
  <w:num w:numId="17" w16cid:durableId="353113696">
    <w:abstractNumId w:val="82"/>
  </w:num>
  <w:num w:numId="18" w16cid:durableId="604195724">
    <w:abstractNumId w:val="92"/>
  </w:num>
  <w:num w:numId="19" w16cid:durableId="1174958133">
    <w:abstractNumId w:val="59"/>
  </w:num>
  <w:num w:numId="20" w16cid:durableId="505900825">
    <w:abstractNumId w:val="91"/>
  </w:num>
  <w:num w:numId="21" w16cid:durableId="1990085302">
    <w:abstractNumId w:val="90"/>
  </w:num>
  <w:num w:numId="22" w16cid:durableId="1525709923">
    <w:abstractNumId w:val="78"/>
  </w:num>
  <w:num w:numId="23" w16cid:durableId="1773821088">
    <w:abstractNumId w:val="128"/>
  </w:num>
  <w:num w:numId="24" w16cid:durableId="1883861749">
    <w:abstractNumId w:val="116"/>
  </w:num>
  <w:num w:numId="25" w16cid:durableId="724522994">
    <w:abstractNumId w:val="109"/>
  </w:num>
  <w:num w:numId="26" w16cid:durableId="355355376">
    <w:abstractNumId w:val="139"/>
  </w:num>
  <w:num w:numId="27" w16cid:durableId="128398197">
    <w:abstractNumId w:val="70"/>
  </w:num>
  <w:num w:numId="28" w16cid:durableId="796796708">
    <w:abstractNumId w:val="122"/>
  </w:num>
  <w:num w:numId="29" w16cid:durableId="1537618503">
    <w:abstractNumId w:val="147"/>
  </w:num>
  <w:num w:numId="30" w16cid:durableId="1533689141">
    <w:abstractNumId w:val="118"/>
  </w:num>
  <w:num w:numId="31" w16cid:durableId="1940287990">
    <w:abstractNumId w:val="174"/>
  </w:num>
  <w:num w:numId="32" w16cid:durableId="969243139">
    <w:abstractNumId w:val="54"/>
  </w:num>
  <w:num w:numId="33" w16cid:durableId="1220895054">
    <w:abstractNumId w:val="151"/>
  </w:num>
  <w:num w:numId="34" w16cid:durableId="760758196">
    <w:abstractNumId w:val="44"/>
  </w:num>
  <w:num w:numId="35" w16cid:durableId="391657166">
    <w:abstractNumId w:val="167"/>
  </w:num>
  <w:num w:numId="36" w16cid:durableId="808743165">
    <w:abstractNumId w:val="7"/>
  </w:num>
  <w:num w:numId="37" w16cid:durableId="413747110">
    <w:abstractNumId w:val="65"/>
  </w:num>
  <w:num w:numId="38" w16cid:durableId="1796828721">
    <w:abstractNumId w:val="119"/>
  </w:num>
  <w:num w:numId="39" w16cid:durableId="571238444">
    <w:abstractNumId w:val="69"/>
  </w:num>
  <w:num w:numId="40" w16cid:durableId="1690327924">
    <w:abstractNumId w:val="166"/>
  </w:num>
  <w:num w:numId="41" w16cid:durableId="136192426">
    <w:abstractNumId w:val="21"/>
  </w:num>
  <w:num w:numId="42" w16cid:durableId="1019939342">
    <w:abstractNumId w:val="74"/>
  </w:num>
  <w:num w:numId="43" w16cid:durableId="326515923">
    <w:abstractNumId w:val="56"/>
  </w:num>
  <w:num w:numId="44" w16cid:durableId="1597522741">
    <w:abstractNumId w:val="129"/>
  </w:num>
  <w:num w:numId="45" w16cid:durableId="557936552">
    <w:abstractNumId w:val="101"/>
  </w:num>
  <w:num w:numId="46" w16cid:durableId="1512061681">
    <w:abstractNumId w:val="0"/>
  </w:num>
  <w:num w:numId="47" w16cid:durableId="510484870">
    <w:abstractNumId w:val="123"/>
  </w:num>
  <w:num w:numId="48" w16cid:durableId="1530024491">
    <w:abstractNumId w:val="64"/>
  </w:num>
  <w:num w:numId="49" w16cid:durableId="1137722899">
    <w:abstractNumId w:val="43"/>
  </w:num>
  <w:num w:numId="50" w16cid:durableId="1162938258">
    <w:abstractNumId w:val="77"/>
  </w:num>
  <w:num w:numId="51" w16cid:durableId="1649089935">
    <w:abstractNumId w:val="121"/>
  </w:num>
  <w:num w:numId="52" w16cid:durableId="413936316">
    <w:abstractNumId w:val="159"/>
  </w:num>
  <w:num w:numId="53" w16cid:durableId="115147713">
    <w:abstractNumId w:val="105"/>
  </w:num>
  <w:num w:numId="54" w16cid:durableId="588003815">
    <w:abstractNumId w:val="163"/>
  </w:num>
  <w:num w:numId="55" w16cid:durableId="216824928">
    <w:abstractNumId w:val="94"/>
  </w:num>
  <w:num w:numId="56" w16cid:durableId="1776898547">
    <w:abstractNumId w:val="20"/>
  </w:num>
  <w:num w:numId="57" w16cid:durableId="700133679">
    <w:abstractNumId w:val="5"/>
  </w:num>
  <w:num w:numId="58" w16cid:durableId="615211704">
    <w:abstractNumId w:val="149"/>
  </w:num>
  <w:num w:numId="59" w16cid:durableId="1038815640">
    <w:abstractNumId w:val="130"/>
  </w:num>
  <w:num w:numId="60" w16cid:durableId="1276402235">
    <w:abstractNumId w:val="145"/>
  </w:num>
  <w:num w:numId="61" w16cid:durableId="2105766294">
    <w:abstractNumId w:val="45"/>
  </w:num>
  <w:num w:numId="62" w16cid:durableId="2078281265">
    <w:abstractNumId w:val="103"/>
  </w:num>
  <w:num w:numId="63" w16cid:durableId="1805344717">
    <w:abstractNumId w:val="143"/>
  </w:num>
  <w:num w:numId="64" w16cid:durableId="1582331472">
    <w:abstractNumId w:val="83"/>
  </w:num>
  <w:num w:numId="65" w16cid:durableId="2074430269">
    <w:abstractNumId w:val="24"/>
  </w:num>
  <w:num w:numId="66" w16cid:durableId="1850220732">
    <w:abstractNumId w:val="156"/>
  </w:num>
  <w:num w:numId="67" w16cid:durableId="747730678">
    <w:abstractNumId w:val="60"/>
  </w:num>
  <w:num w:numId="68" w16cid:durableId="610403411">
    <w:abstractNumId w:val="18"/>
  </w:num>
  <w:num w:numId="69" w16cid:durableId="1578325327">
    <w:abstractNumId w:val="126"/>
  </w:num>
  <w:num w:numId="70" w16cid:durableId="1747535964">
    <w:abstractNumId w:val="136"/>
  </w:num>
  <w:num w:numId="71" w16cid:durableId="278880586">
    <w:abstractNumId w:val="16"/>
  </w:num>
  <w:num w:numId="72" w16cid:durableId="142358877">
    <w:abstractNumId w:val="89"/>
  </w:num>
  <w:num w:numId="73" w16cid:durableId="1234705325">
    <w:abstractNumId w:val="68"/>
  </w:num>
  <w:num w:numId="74" w16cid:durableId="753936039">
    <w:abstractNumId w:val="30"/>
  </w:num>
  <w:num w:numId="75" w16cid:durableId="1669793581">
    <w:abstractNumId w:val="29"/>
  </w:num>
  <w:num w:numId="76" w16cid:durableId="104156340">
    <w:abstractNumId w:val="10"/>
  </w:num>
  <w:num w:numId="77" w16cid:durableId="466239156">
    <w:abstractNumId w:val="52"/>
  </w:num>
  <w:num w:numId="78" w16cid:durableId="371072897">
    <w:abstractNumId w:val="98"/>
  </w:num>
  <w:num w:numId="79" w16cid:durableId="564264983">
    <w:abstractNumId w:val="50"/>
  </w:num>
  <w:num w:numId="80" w16cid:durableId="1652323189">
    <w:abstractNumId w:val="51"/>
  </w:num>
  <w:num w:numId="81" w16cid:durableId="1285230036">
    <w:abstractNumId w:val="46"/>
  </w:num>
  <w:num w:numId="82" w16cid:durableId="1694262532">
    <w:abstractNumId w:val="171"/>
  </w:num>
  <w:num w:numId="83" w16cid:durableId="611783727">
    <w:abstractNumId w:val="86"/>
  </w:num>
  <w:num w:numId="84" w16cid:durableId="337003598">
    <w:abstractNumId w:val="125"/>
  </w:num>
  <w:num w:numId="85" w16cid:durableId="1494175928">
    <w:abstractNumId w:val="157"/>
  </w:num>
  <w:num w:numId="86" w16cid:durableId="730425815">
    <w:abstractNumId w:val="71"/>
  </w:num>
  <w:num w:numId="87" w16cid:durableId="1975989437">
    <w:abstractNumId w:val="35"/>
  </w:num>
  <w:num w:numId="88" w16cid:durableId="1830289629">
    <w:abstractNumId w:val="164"/>
  </w:num>
  <w:num w:numId="89" w16cid:durableId="1320648275">
    <w:abstractNumId w:val="111"/>
  </w:num>
  <w:num w:numId="90" w16cid:durableId="1608612553">
    <w:abstractNumId w:val="104"/>
  </w:num>
  <w:num w:numId="91" w16cid:durableId="1063523211">
    <w:abstractNumId w:val="40"/>
  </w:num>
  <w:num w:numId="92" w16cid:durableId="1970622182">
    <w:abstractNumId w:val="120"/>
  </w:num>
  <w:num w:numId="93" w16cid:durableId="618026765">
    <w:abstractNumId w:val="146"/>
  </w:num>
  <w:num w:numId="94" w16cid:durableId="288241871">
    <w:abstractNumId w:val="53"/>
  </w:num>
  <w:num w:numId="95" w16cid:durableId="1250390032">
    <w:abstractNumId w:val="144"/>
  </w:num>
  <w:num w:numId="96" w16cid:durableId="1775127146">
    <w:abstractNumId w:val="97"/>
  </w:num>
  <w:num w:numId="97" w16cid:durableId="2075271885">
    <w:abstractNumId w:val="169"/>
  </w:num>
  <w:num w:numId="98" w16cid:durableId="1643192280">
    <w:abstractNumId w:val="80"/>
  </w:num>
  <w:num w:numId="99" w16cid:durableId="2060863037">
    <w:abstractNumId w:val="161"/>
  </w:num>
  <w:num w:numId="100" w16cid:durableId="1412237464">
    <w:abstractNumId w:val="117"/>
  </w:num>
  <w:num w:numId="101" w16cid:durableId="833381054">
    <w:abstractNumId w:val="22"/>
  </w:num>
  <w:num w:numId="102" w16cid:durableId="1964070267">
    <w:abstractNumId w:val="13"/>
  </w:num>
  <w:num w:numId="103" w16cid:durableId="568853179">
    <w:abstractNumId w:val="67"/>
  </w:num>
  <w:num w:numId="104" w16cid:durableId="68239200">
    <w:abstractNumId w:val="160"/>
  </w:num>
  <w:num w:numId="105" w16cid:durableId="1464882156">
    <w:abstractNumId w:val="15"/>
  </w:num>
  <w:num w:numId="106" w16cid:durableId="192115683">
    <w:abstractNumId w:val="17"/>
  </w:num>
  <w:num w:numId="107" w16cid:durableId="110828575">
    <w:abstractNumId w:val="154"/>
  </w:num>
  <w:num w:numId="108" w16cid:durableId="176311621">
    <w:abstractNumId w:val="47"/>
  </w:num>
  <w:num w:numId="109" w16cid:durableId="1804231946">
    <w:abstractNumId w:val="106"/>
  </w:num>
  <w:num w:numId="110" w16cid:durableId="1174491518">
    <w:abstractNumId w:val="26"/>
  </w:num>
  <w:num w:numId="111" w16cid:durableId="451020340">
    <w:abstractNumId w:val="58"/>
  </w:num>
  <w:num w:numId="112" w16cid:durableId="795299256">
    <w:abstractNumId w:val="124"/>
  </w:num>
  <w:num w:numId="113" w16cid:durableId="845290186">
    <w:abstractNumId w:val="61"/>
  </w:num>
  <w:num w:numId="114" w16cid:durableId="852189753">
    <w:abstractNumId w:val="66"/>
  </w:num>
  <w:num w:numId="115" w16cid:durableId="142889663">
    <w:abstractNumId w:val="85"/>
  </w:num>
  <w:num w:numId="116" w16cid:durableId="1662343694">
    <w:abstractNumId w:val="8"/>
  </w:num>
  <w:num w:numId="117" w16cid:durableId="1011950813">
    <w:abstractNumId w:val="39"/>
  </w:num>
  <w:num w:numId="118" w16cid:durableId="573510844">
    <w:abstractNumId w:val="63"/>
  </w:num>
  <w:num w:numId="119" w16cid:durableId="390692374">
    <w:abstractNumId w:val="113"/>
  </w:num>
  <w:num w:numId="120" w16cid:durableId="1347052900">
    <w:abstractNumId w:val="33"/>
  </w:num>
  <w:num w:numId="121" w16cid:durableId="1204250158">
    <w:abstractNumId w:val="133"/>
  </w:num>
  <w:num w:numId="122" w16cid:durableId="68043643">
    <w:abstractNumId w:val="137"/>
  </w:num>
  <w:num w:numId="123" w16cid:durableId="375079718">
    <w:abstractNumId w:val="19"/>
  </w:num>
  <w:num w:numId="124" w16cid:durableId="1905993651">
    <w:abstractNumId w:val="79"/>
  </w:num>
  <w:num w:numId="125" w16cid:durableId="1050693103">
    <w:abstractNumId w:val="131"/>
  </w:num>
  <w:num w:numId="126" w16cid:durableId="344986116">
    <w:abstractNumId w:val="153"/>
  </w:num>
  <w:num w:numId="127" w16cid:durableId="2091807866">
    <w:abstractNumId w:val="81"/>
  </w:num>
  <w:num w:numId="128" w16cid:durableId="1126849840">
    <w:abstractNumId w:val="155"/>
  </w:num>
  <w:num w:numId="129" w16cid:durableId="285282019">
    <w:abstractNumId w:val="168"/>
  </w:num>
  <w:num w:numId="130" w16cid:durableId="1437559859">
    <w:abstractNumId w:val="27"/>
  </w:num>
  <w:num w:numId="131" w16cid:durableId="45179066">
    <w:abstractNumId w:val="107"/>
  </w:num>
  <w:num w:numId="132" w16cid:durableId="1345092817">
    <w:abstractNumId w:val="42"/>
  </w:num>
  <w:num w:numId="133" w16cid:durableId="385182963">
    <w:abstractNumId w:val="41"/>
  </w:num>
  <w:num w:numId="134" w16cid:durableId="953904336">
    <w:abstractNumId w:val="23"/>
  </w:num>
  <w:num w:numId="135" w16cid:durableId="1763914540">
    <w:abstractNumId w:val="3"/>
  </w:num>
  <w:num w:numId="136" w16cid:durableId="115491484">
    <w:abstractNumId w:val="141"/>
  </w:num>
  <w:num w:numId="137" w16cid:durableId="1706979618">
    <w:abstractNumId w:val="172"/>
  </w:num>
  <w:num w:numId="138" w16cid:durableId="1136407298">
    <w:abstractNumId w:val="150"/>
  </w:num>
  <w:num w:numId="139" w16cid:durableId="1753547861">
    <w:abstractNumId w:val="87"/>
  </w:num>
  <w:num w:numId="140" w16cid:durableId="1217816792">
    <w:abstractNumId w:val="134"/>
  </w:num>
  <w:num w:numId="141" w16cid:durableId="2116558796">
    <w:abstractNumId w:val="93"/>
  </w:num>
  <w:num w:numId="142" w16cid:durableId="1685204395">
    <w:abstractNumId w:val="55"/>
  </w:num>
  <w:num w:numId="143" w16cid:durableId="4093976">
    <w:abstractNumId w:val="73"/>
  </w:num>
  <w:num w:numId="144" w16cid:durableId="836654925">
    <w:abstractNumId w:val="95"/>
  </w:num>
  <w:num w:numId="145" w16cid:durableId="1412771808">
    <w:abstractNumId w:val="96"/>
  </w:num>
  <w:num w:numId="146" w16cid:durableId="1138764496">
    <w:abstractNumId w:val="148"/>
  </w:num>
  <w:num w:numId="147" w16cid:durableId="1923565559">
    <w:abstractNumId w:val="114"/>
  </w:num>
  <w:num w:numId="148" w16cid:durableId="969475277">
    <w:abstractNumId w:val="14"/>
  </w:num>
  <w:num w:numId="149" w16cid:durableId="168719232">
    <w:abstractNumId w:val="108"/>
  </w:num>
  <w:num w:numId="150" w16cid:durableId="177088878">
    <w:abstractNumId w:val="135"/>
  </w:num>
  <w:num w:numId="151" w16cid:durableId="18049792">
    <w:abstractNumId w:val="84"/>
  </w:num>
  <w:num w:numId="152" w16cid:durableId="1750957412">
    <w:abstractNumId w:val="173"/>
  </w:num>
  <w:num w:numId="153" w16cid:durableId="312874267">
    <w:abstractNumId w:val="100"/>
  </w:num>
  <w:num w:numId="154" w16cid:durableId="2027126619">
    <w:abstractNumId w:val="49"/>
  </w:num>
  <w:num w:numId="155" w16cid:durableId="980184610">
    <w:abstractNumId w:val="76"/>
  </w:num>
  <w:num w:numId="156" w16cid:durableId="596014192">
    <w:abstractNumId w:val="152"/>
  </w:num>
  <w:num w:numId="157" w16cid:durableId="1664817546">
    <w:abstractNumId w:val="38"/>
  </w:num>
  <w:num w:numId="158" w16cid:durableId="2034190481">
    <w:abstractNumId w:val="102"/>
  </w:num>
  <w:num w:numId="159" w16cid:durableId="1102141194">
    <w:abstractNumId w:val="158"/>
  </w:num>
  <w:num w:numId="160" w16cid:durableId="949162539">
    <w:abstractNumId w:val="2"/>
  </w:num>
  <w:num w:numId="161" w16cid:durableId="19093828">
    <w:abstractNumId w:val="112"/>
  </w:num>
  <w:num w:numId="162" w16cid:durableId="841359184">
    <w:abstractNumId w:val="57"/>
  </w:num>
  <w:num w:numId="163" w16cid:durableId="1751541646">
    <w:abstractNumId w:val="1"/>
  </w:num>
  <w:num w:numId="164" w16cid:durableId="1815831615">
    <w:abstractNumId w:val="32"/>
  </w:num>
  <w:num w:numId="165" w16cid:durableId="1098210054">
    <w:abstractNumId w:val="110"/>
  </w:num>
  <w:num w:numId="166" w16cid:durableId="1237134745">
    <w:abstractNumId w:val="34"/>
  </w:num>
  <w:num w:numId="167" w16cid:durableId="908540498">
    <w:abstractNumId w:val="162"/>
  </w:num>
  <w:num w:numId="168" w16cid:durableId="1525703782">
    <w:abstractNumId w:val="132"/>
  </w:num>
  <w:num w:numId="169" w16cid:durableId="1471826484">
    <w:abstractNumId w:val="75"/>
  </w:num>
  <w:num w:numId="170" w16cid:durableId="362873874">
    <w:abstractNumId w:val="170"/>
  </w:num>
  <w:num w:numId="171" w16cid:durableId="767696778">
    <w:abstractNumId w:val="6"/>
  </w:num>
  <w:num w:numId="172" w16cid:durableId="472718585">
    <w:abstractNumId w:val="88"/>
  </w:num>
  <w:num w:numId="173" w16cid:durableId="1344017460">
    <w:abstractNumId w:val="28"/>
  </w:num>
  <w:num w:numId="174" w16cid:durableId="586236361">
    <w:abstractNumId w:val="12"/>
  </w:num>
  <w:num w:numId="175" w16cid:durableId="488399797">
    <w:abstractNumId w:val="165"/>
  </w:num>
  <w:num w:numId="176" w16cid:durableId="1548639591">
    <w:abstractNumId w:val="1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27800"/>
    <w:rsid w:val="00032163"/>
    <w:rsid w:val="0003685A"/>
    <w:rsid w:val="00037F7E"/>
    <w:rsid w:val="00042322"/>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25DC"/>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61F"/>
    <w:rsid w:val="000948C2"/>
    <w:rsid w:val="00096370"/>
    <w:rsid w:val="00096F14"/>
    <w:rsid w:val="000A040B"/>
    <w:rsid w:val="000A0549"/>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D8"/>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B04"/>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4F33"/>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5F50"/>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C2E"/>
    <w:rsid w:val="002A2753"/>
    <w:rsid w:val="002A356B"/>
    <w:rsid w:val="002A38B5"/>
    <w:rsid w:val="002A39DD"/>
    <w:rsid w:val="002A3A1A"/>
    <w:rsid w:val="002A44B9"/>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5E1D"/>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47B97"/>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48CA"/>
    <w:rsid w:val="0039568E"/>
    <w:rsid w:val="00396C21"/>
    <w:rsid w:val="0039742C"/>
    <w:rsid w:val="003A08D0"/>
    <w:rsid w:val="003A1554"/>
    <w:rsid w:val="003A1B16"/>
    <w:rsid w:val="003A2D2B"/>
    <w:rsid w:val="003A2DC4"/>
    <w:rsid w:val="003A2F63"/>
    <w:rsid w:val="003A331F"/>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5D6F"/>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016F"/>
    <w:rsid w:val="0042149B"/>
    <w:rsid w:val="00423A39"/>
    <w:rsid w:val="00424BC5"/>
    <w:rsid w:val="004261B8"/>
    <w:rsid w:val="0042654D"/>
    <w:rsid w:val="00426DB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2CE"/>
    <w:rsid w:val="0044135E"/>
    <w:rsid w:val="004424C6"/>
    <w:rsid w:val="00443A46"/>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A6A6A"/>
    <w:rsid w:val="004B02EF"/>
    <w:rsid w:val="004B21EE"/>
    <w:rsid w:val="004B2E0C"/>
    <w:rsid w:val="004B4A34"/>
    <w:rsid w:val="004B4F65"/>
    <w:rsid w:val="004B55BC"/>
    <w:rsid w:val="004B55F3"/>
    <w:rsid w:val="004B5E9E"/>
    <w:rsid w:val="004B6541"/>
    <w:rsid w:val="004B73C7"/>
    <w:rsid w:val="004C1F0C"/>
    <w:rsid w:val="004C255D"/>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E7F95"/>
    <w:rsid w:val="004F3117"/>
    <w:rsid w:val="004F34CD"/>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08B9"/>
    <w:rsid w:val="005115A5"/>
    <w:rsid w:val="0051165F"/>
    <w:rsid w:val="00511A34"/>
    <w:rsid w:val="00512771"/>
    <w:rsid w:val="00512BDD"/>
    <w:rsid w:val="00513B9C"/>
    <w:rsid w:val="00514EA1"/>
    <w:rsid w:val="00516CAB"/>
    <w:rsid w:val="0051707E"/>
    <w:rsid w:val="00517EE6"/>
    <w:rsid w:val="005206F9"/>
    <w:rsid w:val="0052080D"/>
    <w:rsid w:val="00520C9D"/>
    <w:rsid w:val="00520E47"/>
    <w:rsid w:val="005222B8"/>
    <w:rsid w:val="00523FE6"/>
    <w:rsid w:val="00524490"/>
    <w:rsid w:val="00525CF5"/>
    <w:rsid w:val="00526D88"/>
    <w:rsid w:val="005272B3"/>
    <w:rsid w:val="00527C23"/>
    <w:rsid w:val="00530223"/>
    <w:rsid w:val="00530246"/>
    <w:rsid w:val="00531188"/>
    <w:rsid w:val="005311A1"/>
    <w:rsid w:val="00531C8D"/>
    <w:rsid w:val="00532C7E"/>
    <w:rsid w:val="005340F8"/>
    <w:rsid w:val="005358E2"/>
    <w:rsid w:val="00535ABD"/>
    <w:rsid w:val="00535B98"/>
    <w:rsid w:val="00535F53"/>
    <w:rsid w:val="0053616D"/>
    <w:rsid w:val="00536A3F"/>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A74CD"/>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BE"/>
    <w:rsid w:val="005E5CD1"/>
    <w:rsid w:val="005E68BA"/>
    <w:rsid w:val="005E6E8D"/>
    <w:rsid w:val="005F123D"/>
    <w:rsid w:val="005F19F1"/>
    <w:rsid w:val="005F2156"/>
    <w:rsid w:val="005F34CC"/>
    <w:rsid w:val="005F3ACA"/>
    <w:rsid w:val="005F516B"/>
    <w:rsid w:val="005F54BA"/>
    <w:rsid w:val="005F6CBA"/>
    <w:rsid w:val="00600201"/>
    <w:rsid w:val="006004BB"/>
    <w:rsid w:val="00600611"/>
    <w:rsid w:val="00600C95"/>
    <w:rsid w:val="006010C7"/>
    <w:rsid w:val="0060192F"/>
    <w:rsid w:val="006025C1"/>
    <w:rsid w:val="00602CE5"/>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4A5"/>
    <w:rsid w:val="006C6822"/>
    <w:rsid w:val="006D0E57"/>
    <w:rsid w:val="006D126A"/>
    <w:rsid w:val="006D26EB"/>
    <w:rsid w:val="006D3CF0"/>
    <w:rsid w:val="006D47A4"/>
    <w:rsid w:val="006D55C7"/>
    <w:rsid w:val="006D58CF"/>
    <w:rsid w:val="006D5C8F"/>
    <w:rsid w:val="006D6EE7"/>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2A8"/>
    <w:rsid w:val="006F359B"/>
    <w:rsid w:val="006F39DF"/>
    <w:rsid w:val="006F3A0A"/>
    <w:rsid w:val="006F4860"/>
    <w:rsid w:val="006F5EA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58A6"/>
    <w:rsid w:val="00746C2B"/>
    <w:rsid w:val="00750DD5"/>
    <w:rsid w:val="00751DFE"/>
    <w:rsid w:val="007559C4"/>
    <w:rsid w:val="007615A6"/>
    <w:rsid w:val="00762B2E"/>
    <w:rsid w:val="007649AF"/>
    <w:rsid w:val="00766452"/>
    <w:rsid w:val="00766585"/>
    <w:rsid w:val="00767E11"/>
    <w:rsid w:val="00771F15"/>
    <w:rsid w:val="00772AA9"/>
    <w:rsid w:val="007733A1"/>
    <w:rsid w:val="0077430B"/>
    <w:rsid w:val="00774B02"/>
    <w:rsid w:val="00774D19"/>
    <w:rsid w:val="0077532A"/>
    <w:rsid w:val="00777802"/>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26DA"/>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4A40"/>
    <w:rsid w:val="007C5498"/>
    <w:rsid w:val="007C5962"/>
    <w:rsid w:val="007C74C5"/>
    <w:rsid w:val="007D00E3"/>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0DC2"/>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5056"/>
    <w:rsid w:val="0087544D"/>
    <w:rsid w:val="008768B2"/>
    <w:rsid w:val="0088061D"/>
    <w:rsid w:val="00880A71"/>
    <w:rsid w:val="00880B60"/>
    <w:rsid w:val="00882767"/>
    <w:rsid w:val="0088370A"/>
    <w:rsid w:val="00883805"/>
    <w:rsid w:val="00883F04"/>
    <w:rsid w:val="00884236"/>
    <w:rsid w:val="0088510E"/>
    <w:rsid w:val="008853A3"/>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3EB8"/>
    <w:rsid w:val="00913F58"/>
    <w:rsid w:val="00913F74"/>
    <w:rsid w:val="00915CC5"/>
    <w:rsid w:val="00916A2F"/>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0BFE"/>
    <w:rsid w:val="009A13E3"/>
    <w:rsid w:val="009A4CD1"/>
    <w:rsid w:val="009A565A"/>
    <w:rsid w:val="009A5BAE"/>
    <w:rsid w:val="009A6C4F"/>
    <w:rsid w:val="009A75B5"/>
    <w:rsid w:val="009A7997"/>
    <w:rsid w:val="009A7B3A"/>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BF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905"/>
    <w:rsid w:val="00A70AA1"/>
    <w:rsid w:val="00A71401"/>
    <w:rsid w:val="00A71F99"/>
    <w:rsid w:val="00A7438E"/>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1A78"/>
    <w:rsid w:val="00AA219A"/>
    <w:rsid w:val="00AA270B"/>
    <w:rsid w:val="00AA549B"/>
    <w:rsid w:val="00AA689E"/>
    <w:rsid w:val="00AA79A4"/>
    <w:rsid w:val="00AA7EEF"/>
    <w:rsid w:val="00AB1440"/>
    <w:rsid w:val="00AB18EC"/>
    <w:rsid w:val="00AB3A29"/>
    <w:rsid w:val="00AB5174"/>
    <w:rsid w:val="00AB640E"/>
    <w:rsid w:val="00AB67D8"/>
    <w:rsid w:val="00AC0125"/>
    <w:rsid w:val="00AC0363"/>
    <w:rsid w:val="00AC0ED0"/>
    <w:rsid w:val="00AC2AA5"/>
    <w:rsid w:val="00AC3ABC"/>
    <w:rsid w:val="00AC5E8E"/>
    <w:rsid w:val="00AC767B"/>
    <w:rsid w:val="00AD1083"/>
    <w:rsid w:val="00AD17FD"/>
    <w:rsid w:val="00AD32FE"/>
    <w:rsid w:val="00AD3966"/>
    <w:rsid w:val="00AD4196"/>
    <w:rsid w:val="00AD5407"/>
    <w:rsid w:val="00AD575D"/>
    <w:rsid w:val="00AD585F"/>
    <w:rsid w:val="00AD58D6"/>
    <w:rsid w:val="00AD6BCD"/>
    <w:rsid w:val="00AD7ACC"/>
    <w:rsid w:val="00AE2261"/>
    <w:rsid w:val="00AE35DA"/>
    <w:rsid w:val="00AE4B81"/>
    <w:rsid w:val="00AE4BE7"/>
    <w:rsid w:val="00AE5AD0"/>
    <w:rsid w:val="00AF05F4"/>
    <w:rsid w:val="00AF0ABA"/>
    <w:rsid w:val="00AF1713"/>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6828"/>
    <w:rsid w:val="00B37686"/>
    <w:rsid w:val="00B37958"/>
    <w:rsid w:val="00B4019C"/>
    <w:rsid w:val="00B42DE2"/>
    <w:rsid w:val="00B45673"/>
    <w:rsid w:val="00B45D15"/>
    <w:rsid w:val="00B45DC5"/>
    <w:rsid w:val="00B47FC2"/>
    <w:rsid w:val="00B501EB"/>
    <w:rsid w:val="00B50AD1"/>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53"/>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4A63"/>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40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72A"/>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755"/>
    <w:rsid w:val="00C72C61"/>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4B07"/>
    <w:rsid w:val="00C957B2"/>
    <w:rsid w:val="00C95E90"/>
    <w:rsid w:val="00C9679F"/>
    <w:rsid w:val="00C972EC"/>
    <w:rsid w:val="00C975DA"/>
    <w:rsid w:val="00C97C2B"/>
    <w:rsid w:val="00CA044B"/>
    <w:rsid w:val="00CA122C"/>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1E7"/>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CCD"/>
    <w:rsid w:val="00D464E9"/>
    <w:rsid w:val="00D4695F"/>
    <w:rsid w:val="00D472BB"/>
    <w:rsid w:val="00D50C33"/>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4A5"/>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5A8"/>
    <w:rsid w:val="00DF291E"/>
    <w:rsid w:val="00DF3A92"/>
    <w:rsid w:val="00DF4C3C"/>
    <w:rsid w:val="00DF516E"/>
    <w:rsid w:val="00DF5439"/>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4E62"/>
    <w:rsid w:val="00E46B0B"/>
    <w:rsid w:val="00E46BDE"/>
    <w:rsid w:val="00E4711C"/>
    <w:rsid w:val="00E47DBF"/>
    <w:rsid w:val="00E502FF"/>
    <w:rsid w:val="00E52096"/>
    <w:rsid w:val="00E53839"/>
    <w:rsid w:val="00E5416F"/>
    <w:rsid w:val="00E55230"/>
    <w:rsid w:val="00E55AFE"/>
    <w:rsid w:val="00E56E3E"/>
    <w:rsid w:val="00E5725D"/>
    <w:rsid w:val="00E60657"/>
    <w:rsid w:val="00E62C6D"/>
    <w:rsid w:val="00E64586"/>
    <w:rsid w:val="00E64726"/>
    <w:rsid w:val="00E7021A"/>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B7ABF"/>
    <w:rsid w:val="00EC0585"/>
    <w:rsid w:val="00EC0B1A"/>
    <w:rsid w:val="00EC0DBC"/>
    <w:rsid w:val="00EC2ECA"/>
    <w:rsid w:val="00EC3272"/>
    <w:rsid w:val="00EC440C"/>
    <w:rsid w:val="00EC5B22"/>
    <w:rsid w:val="00EC7059"/>
    <w:rsid w:val="00ED042E"/>
    <w:rsid w:val="00ED0E8F"/>
    <w:rsid w:val="00ED1040"/>
    <w:rsid w:val="00ED14C9"/>
    <w:rsid w:val="00ED34DB"/>
    <w:rsid w:val="00ED4117"/>
    <w:rsid w:val="00ED533F"/>
    <w:rsid w:val="00ED55A8"/>
    <w:rsid w:val="00ED5BDA"/>
    <w:rsid w:val="00ED61EF"/>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28BE"/>
    <w:rsid w:val="00F3332F"/>
    <w:rsid w:val="00F33EAF"/>
    <w:rsid w:val="00F3558C"/>
    <w:rsid w:val="00F36867"/>
    <w:rsid w:val="00F37999"/>
    <w:rsid w:val="00F37CB6"/>
    <w:rsid w:val="00F40322"/>
    <w:rsid w:val="00F40C4B"/>
    <w:rsid w:val="00F41294"/>
    <w:rsid w:val="00F42AB4"/>
    <w:rsid w:val="00F43C49"/>
    <w:rsid w:val="00F43CFB"/>
    <w:rsid w:val="00F44A89"/>
    <w:rsid w:val="00F4689A"/>
    <w:rsid w:val="00F46AE1"/>
    <w:rsid w:val="00F47559"/>
    <w:rsid w:val="00F500FE"/>
    <w:rsid w:val="00F51904"/>
    <w:rsid w:val="00F51C1B"/>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120C"/>
    <w:rsid w:val="00F91351"/>
    <w:rsid w:val="00F91849"/>
    <w:rsid w:val="00F93865"/>
    <w:rsid w:val="00F93AF2"/>
    <w:rsid w:val="00F94146"/>
    <w:rsid w:val="00F95BB9"/>
    <w:rsid w:val="00F964D0"/>
    <w:rsid w:val="00F9654E"/>
    <w:rsid w:val="00F97383"/>
    <w:rsid w:val="00FA0ED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1FCF"/>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D7F7C"/>
    <w:rsid w:val="00FE1607"/>
    <w:rsid w:val="00FE1C8A"/>
    <w:rsid w:val="00FE49F4"/>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F0CACED2-2719-C548-9C3D-B74F69E0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7B26DA"/>
    <w:pPr>
      <w:numPr>
        <w:ilvl w:val="1"/>
      </w:numPr>
      <w:spacing w:before="240" w:after="240"/>
      <w:ind w:left="357" w:hanging="357"/>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916A2F"/>
    <w:pPr>
      <w:numPr>
        <w:ilvl w:val="0"/>
        <w:numId w:val="0"/>
      </w:numPr>
      <w:ind w:left="709" w:hanging="709"/>
      <w:outlineLvl w:val="2"/>
    </w:pPr>
    <w:rPr>
      <w:sz w:val="24"/>
    </w:r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7B26DA"/>
    <w:rPr>
      <w:rFonts w:ascii="Arial" w:eastAsiaTheme="majorEastAsia" w:hAnsi="Arial" w:cs="Times New Roman"/>
      <w:b/>
      <w:color w:val="000000" w:themeColor="text1"/>
      <w:sz w:val="28"/>
      <w:szCs w:val="26"/>
      <w:lang w:eastAsia="de-DE"/>
    </w:rPr>
  </w:style>
  <w:style w:type="character" w:customStyle="1" w:styleId="berschrift3Zchn">
    <w:name w:val="Überschrift 3 Zchn"/>
    <w:basedOn w:val="Absatz-Standardschriftart"/>
    <w:link w:val="berschrift3"/>
    <w:uiPriority w:val="9"/>
    <w:locked/>
    <w:rsid w:val="00916A2F"/>
    <w:rPr>
      <w:rFonts w:ascii="Arial" w:eastAsiaTheme="majorEastAsia" w:hAnsi="Arial" w:cs="Times New Roman"/>
      <w:b/>
      <w:color w:val="000000" w:themeColor="text1"/>
      <w:szCs w:val="26"/>
      <w:lang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qFormat/>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 w:type="paragraph" w:styleId="HTMLVorformatiert">
    <w:name w:val="HTML Preformatted"/>
    <w:basedOn w:val="Standard"/>
    <w:link w:val="HTMLVorformatiertZchn"/>
    <w:uiPriority w:val="99"/>
    <w:semiHidden/>
    <w:unhideWhenUsed/>
    <w:rsid w:val="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A7B3A"/>
    <w:rPr>
      <w:rFonts w:ascii="Courier New" w:hAnsi="Courier New" w:cs="Courier New"/>
      <w:sz w:val="20"/>
      <w:szCs w:val="20"/>
      <w:lang w:eastAsia="de-DE"/>
    </w:rPr>
  </w:style>
  <w:style w:type="character" w:styleId="HTMLCode">
    <w:name w:val="HTML Code"/>
    <w:basedOn w:val="Absatz-Standardschriftart"/>
    <w:uiPriority w:val="99"/>
    <w:semiHidden/>
    <w:unhideWhenUsed/>
    <w:rsid w:val="009A7B3A"/>
    <w:rPr>
      <w:rFonts w:ascii="Courier New" w:eastAsia="Times New Roman" w:hAnsi="Courier New" w:cs="Courier New"/>
      <w:sz w:val="20"/>
      <w:szCs w:val="20"/>
    </w:rPr>
  </w:style>
  <w:style w:type="paragraph" w:customStyle="1" w:styleId="Formatvorlage1">
    <w:name w:val="Formatvorlage1"/>
    <w:basedOn w:val="Standard"/>
    <w:next w:val="Standard"/>
    <w:autoRedefine/>
    <w:qFormat/>
    <w:rsid w:val="00916A2F"/>
    <w:rPr>
      <w:rFonts w:cs="Arial"/>
      <w:noProof/>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391417879">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804080247">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23049588">
      <w:bodyDiv w:val="1"/>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12" Type="http://schemas.microsoft.com/office/2011/relationships/webextension" Target="webextension12.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 dockstate="right" visibility="0" width="350" row="0">
    <wetp:webextensionref xmlns:r="http://schemas.openxmlformats.org/officeDocument/2006/relationships" r:id="rId10"/>
  </wetp:taskpane>
  <wetp:taskpane dockstate="right" visibility="0" width="350" row="0">
    <wetp:webextensionref xmlns:r="http://schemas.openxmlformats.org/officeDocument/2006/relationships" r:id="rId11"/>
  </wetp:taskpane>
  <wetp:taskpane dockstate="right" visibility="0" width="350" row="0">
    <wetp:webextensionref xmlns:r="http://schemas.openxmlformats.org/officeDocument/2006/relationships" r:id="rId12"/>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BFF3AA0D-4D7D-0A4E-8C76-0E78C5439609}">
  <we:reference id="wa200005826" version="1.8.0.0" store="en-US" storeType="OMEX"/>
  <we:alternateReferences>
    <we:reference id="WA200005826" version="1.8.0.0" store=""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077B666E-34F3-D749-8349-2D7EBF99B316}">
  <we:reference id="wa200005107" version="1.1.0.0" store="de-DE"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2.xml><?xml version="1.0" encoding="utf-8"?>
<we:webextension xmlns:we="http://schemas.microsoft.com/office/webextensions/webextension/2010/11" id="{6790E906-8CF1-F547-9DB2-D4614C3DE477}">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word/webextensions/webextension8.xml><?xml version="1.0" encoding="utf-8"?>
<we:webextension xmlns:we="http://schemas.microsoft.com/office/webextensions/webextension/2010/11" id="{EB17FC7B-2901-B94E-92C6-2E4400F443A5}">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74BCB2CD-C9C6-854F-909C-38BA5CEAB3F4}">
  <we:reference id="cec2c794-cfc7-4347-a54b-1ced872b6768" version="1.0.0.11" store="EXCatalog" storeType="EXCatalog"/>
  <we:alternateReferences>
    <we:reference id="WA200005502" version="1.0.0.11" store="de-DE" storeType="OMEX"/>
  </we:alternateReferences>
  <we:properties>
    <we:property name="docId" value="&quot;vxzpLM0ZNn1JqvnZ4u2KM&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8357</Words>
  <Characters>52651</Characters>
  <Application>Microsoft Office Word</Application>
  <DocSecurity>0</DocSecurity>
  <Lines>438</Lines>
  <Paragraphs>121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60887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28</cp:revision>
  <cp:lastPrinted>2024-05-01T20:11:00Z</cp:lastPrinted>
  <dcterms:created xsi:type="dcterms:W3CDTF">2025-10-09T21:38:00Z</dcterms:created>
  <dcterms:modified xsi:type="dcterms:W3CDTF">2025-10-11T06:45:00Z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id="a3dOCiXm"/&gt;&lt;style id="http://www.zotero.org/styles/apa" locale="de-DE" hasBibliography="1" bibliographyStyleHasBeenSet="0"/&gt;&lt;prefs&gt;&lt;pref name="fieldType" value="Bookmark"/&gt;&lt;pref name="automaticJo</vt:lpwstr>
  </property>
  <property fmtid="{D5CDD505-2E9C-101B-9397-08002B2CF9AE}" pid="3" name="ZOTERO_PREF_2">
    <vt:lpwstr>urnalAbbreviations" value="true"/&gt;&lt;/prefs&gt;&lt;/data&gt;</vt:lpwstr>
  </property>
  <property fmtid="{D5CDD505-2E9C-101B-9397-08002B2CF9AE}" pid="4" name="grammarly_documentId">
    <vt:lpwstr>documentId_7937</vt:lpwstr>
  </property>
  <property fmtid="{D5CDD505-2E9C-101B-9397-08002B2CF9AE}" pid="5" name="grammarly_documentContext">
    <vt:lpwstr>{"goals":[],"domain":"general","emotions":[],"dialect":"american"}</vt:lpwstr>
  </property>
</Properties>
</file>