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berschrift1"/>
      </w:pPr>
      <w:r>
        <w:t>Hintergrund</w:t>
      </w:r>
      <w:r>
        <w:rPr>
          <w:rStyle w:val="Absatz-Standardschriftart"/>
        </w:rPr>
      </w:r>
    </w:p>
    <w:p>
      <w:pPr>
        <w:pStyle w:val="berschrift2"/>
      </w:pPr>
      <w:r>
        <w:t>Kopf-Hals-Plattenepithelkarzinom</w:t>
      </w:r>
      <w:r>
        <w:rPr>
          <w:rStyle w:val="Absatz-Standardschriftart"/>
        </w:rPr>
      </w:r>
      <w:r>
        <w:rPr>
          <w:rStyle w:val="Absatz-Standardschriftart"/>
        </w:rPr>
      </w:r>
    </w:p>
    <w:p>
      <w:pPr>
        <w:pStyle w:val="StandardWeb"/>
      </w:pPr>
      <w:r>
        <w:t>Die Plattenepithelkarzinome des Kopf-Hals-Bereiches (HNSCC: Head and neck squamosa cell carcinoma) machen den Großteil aller Krebserkrankungen im Kopf-Hals-Bereich aus. Sie treten in den unterschiedlichen Etagen des oberen Aerodigestivtraktes auf. Man kann sie hinsichtlich ihrer anatomischen Lokalisation in Tumoren der Mundhöhle, des Pharynx (Naso-, Oro- und Hypopharynx) sowie des Larynx untergliedern. Klinisch zeigt sich folgendes anatomisches Verteilungsmuster: fMundhöhle 50%, Pharynx 25%, Larynx 25% ().</w:t>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r>
        <w:rPr>
          <w:rStyle w:val="Absatz-Standardschriftart"/>
          <w:rFonts w:ascii="Arial" w:hAnsi="Arial"/>
        </w:rPr>
      </w:r>
    </w:p>
    <w:p>
      <w:pPr>
        <w:pStyle w:val="berschrift3"/>
      </w:pPr>
      <w:r>
        <w:t>Epidemiologie</w:t>
      </w:r>
      <w:r>
        <w:rPr>
          <w:rStyle w:val="Absatz-Standardschriftart"/>
        </w:rPr>
      </w:r>
      <w:r>
        <w:rPr>
          <w:rStyle w:val="Kommentarzeichen"/>
          <w:b w:val="0"/>
        </w:rPr>
      </w:r>
    </w:p>
    <w:p>
      <w:pPr>
        <w:pStyle w:val="Standard"/>
      </w:pPr>
      <w:r>
        <w:t>Nach Schätzungen der WHO erkrankten im Jahre 2020 weltweit etwa 509.900 Männer und 183.900 Frauen an einem Karzinom von Lippe, Mundhöhle oder Pharynx (ohne Speicheldrüse). Tumore des Kopf-Hals-Bereichs machen somit bei Männern 11,6% und bei Frauen 3,8% aller bösartigen Tumorerkrankungen aus. Damit rangiert diese Krebserkrankung auf den sechsten Platz der weltweit häufigsten Malignome.  Von den Krebserkrankten verstarben 325.000 Menschen, auch davon waren rund drei Viertel männlich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 xml:space="preserve">In der Bundesrepublik Deutschland erkrankten im Jahr 2018 nach Angaben des Robert-Koch-Instituts 14.310 Bürger an einem Karzinom der Kopf- /Hals-Region. Mit einem Anteil von 68,6% erkrankten Männer häufiger und bei einem medianen Erkrankungsalter von 64 Jahren zwei bis drei Jahre früher als Frauen. Damit ordnet sich diese Krebserkrankung bei den männlichen Erkrankten mit einem Anteil von 3,7% an neunter Stelle (Inzidenz 17/100.000) und bei den Frauen mit einem Anteil von 1,6% an 15. Stelle (Inzidenz 4/100.000) der gesamten Krebsneuerkrankungen in Deutschland ein. Seit einigen Jahren verlaufen die altersstandardisierten Neuerkrankungsraten in Deutschland bei den Frauen annährend konstant, bei den Männern ist sogar ein leichter Rückgang zu beobachten.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rPr>
          <w:rStyle w:val="Absatz-Standardschriftart"/>
        </w:rPr>
      </w:r>
    </w:p>
    <w:p>
      <w:r>
        <w:drawing>
          <wp:inline xmlns:a="http://schemas.openxmlformats.org/drawingml/2006/main" xmlns:pic="http://schemas.openxmlformats.org/drawingml/2006/picture">
            <wp:extent cx="9791700" cy="3721100"/>
            <wp:docPr id="1" name="Picture 1"/>
            <wp:cNvGraphicFramePr>
              <a:graphicFrameLocks noChangeAspect="1"/>
            </wp:cNvGraphicFramePr>
            <a:graphic>
              <a:graphicData uri="http://schemas.openxmlformats.org/drawingml/2006/picture">
                <pic:pic>
                  <pic:nvPicPr>
                    <pic:cNvPr id="0" name="image1.png"/>
                    <pic:cNvPicPr/>
                  </pic:nvPicPr>
                  <pic:blipFill>
                    <a:blip r:embed="rId9"/>
                    <a:stretch>
                      <a:fillRect/>
                    </a:stretch>
                  </pic:blipFill>
                  <pic:spPr>
                    <a:xfrm>
                      <a:off x="0" y="0"/>
                      <a:ext cx="9791700" cy="3721100"/>
                    </a:xfrm>
                    <a:prstGeom prst="rect"/>
                  </pic:spPr>
                </pic:pic>
              </a:graphicData>
            </a:graphic>
          </wp:inline>
        </w:drawing>
      </w:r>
    </w:p>
    <w:p>
      <w:pPr>
        <w:pStyle w:val="Beschriftung"/>
      </w:pPr>
      <w:r>
        <w:t>Abbildung 11: Altersstandardisierte Neuerkrankungs- und Sterberaten (Europastandard) nach Geschlecht, ICD-10 C00 – C14, Deutschland 1999 – 2018/2019, Prognose (Inzidenz) bis 2022 (Quelle: Zentrum f. Krebsregisterdaten 2021)</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p>
    <w:p>
      <w:pPr>
        <w:pStyle w:val="Standard"/>
      </w:pPr>
      <w:r>
        <w:t xml:space="preserve">Die entsprechenden Mortalitätsraten verhalten sich für Männer und Frauen ähnlich. Im Jahre 2018 verstarben insgesamt 5.412 Patienten (davon 73,4% Männer). Männer nahmen mit einem Anteil von 3,4% an den Krebssterbefällen den neunten Platz (Inzidenz: 9,7/100.000) und Frauen mit 1,2% den 17. Platz (3,4/100.000) ein (). An klassischen Karzinomen des Kopf-Hals-Bereiches erkranken überwiegend Personen mit einem niedrigen Bildungsstand aus sozial benachteiligten Schichten ().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berschrift3"/>
      </w:pPr>
      <w:r>
        <w:t>Ätiologie und Risikofaktore</w:t>
      </w:r>
      <w:r>
        <w:rPr>
          <w:rStyle w:val="Absatz-Standardschriftart"/>
        </w:rPr>
      </w:r>
      <w:r>
        <w:rPr>
          <w:rStyle w:val="Absatz-Standardschriftart"/>
        </w:rPr>
      </w:r>
    </w:p>
    <w:p>
      <w:pPr>
        <w:pStyle w:val="Standard"/>
      </w:pPr>
      <w:r>
        <w:t>Tabak- und Alkoholkonsum</w:t>
      </w:r>
      <w:r>
        <w:rPr>
          <w:rStyle w:val="Absatz-Standardschriftart"/>
          <w:i/>
        </w:rPr>
      </w:r>
    </w:p>
    <w:p>
      <w:pPr>
        <w:pStyle w:val="Standard"/>
      </w:pPr>
      <w:r>
        <w:t>Die Hauptrisikofaktoren der Karzinogenese eines Plattenepithelkarzinoms im Kopf-Hals-Bereich stellen Tabak- und Alkoholkonsum dar. Mindestens 75% der Krebserkrankungen im Kopf-Hals-Bereich können auf diese beiden Noxen zurückgeführt werden. Unabhängig voneinander erhöhen sie das Risiko, an einem Karzinom des Kopf-Hals-Bereiches zu erkranken, werden jedoch in den meisten Fällen kombiniert konsumiert. [5, 6]</w:t>
      </w:r>
      <w:r>
        <w:rPr>
          <w:rStyle w:val="Absatz-Standardschriftart"/>
        </w:rPr>
      </w:r>
    </w:p>
    <w:p>
      <w:pPr>
        <w:pStyle w:val="Standard"/>
      </w:pPr>
      <w:r>
        <w:t>Daraus ergibt sich nicht nur ein additiver, sondern ein multiplikativer Effekt auf das Erkrankungsrisiko [7, 8]. Eine Risikoerhöhung bis auf das 15-fache wird bei kombiniertem, starken Alkohol- und Tabakkonsum angegeben [9].</w:t>
      </w:r>
      <w:r>
        <w:rPr>
          <w:rStyle w:val="Absatz-Standardschriftart"/>
        </w:rPr>
      </w:r>
    </w:p>
    <w:p>
      <w:pPr>
        <w:pStyle w:val="Standard"/>
      </w:pPr>
      <w:r>
        <w:t>Das Erkrankungsrisiko unter den Rauchern steigt mit der Anzahl der täglich gerauchten Zigaretten sowie früherem Beginn und der Dauer des Konsumverhaltens [6, 8, 10]. Auch beim Alkoholkonsum zeigt sich eine dosisabhängige Risikosteigerung, je mehr alkoholische Getränke täglich konsumiert werden, desto höher ist das Erkrankungsrisiko [10].</w:t>
      </w:r>
      <w:r>
        <w:rPr>
          <w:rStyle w:val="Absatz-Standardschriftart"/>
        </w:rPr>
      </w:r>
      <w:r>
        <w:rPr>
          <w:rStyle w:val="Absatz-Standardschriftart"/>
        </w:rPr>
      </w:r>
    </w:p>
    <w:p>
      <w:pPr>
        <w:pStyle w:val="Standard"/>
      </w:pPr>
      <w:r>
        <w:t>Humanes Papillomavirus</w:t>
      </w:r>
      <w:r>
        <w:rPr>
          <w:rStyle w:val="Absatz-Standardschriftart"/>
          <w:i/>
        </w:rPr>
      </w:r>
    </w:p>
    <w:p>
      <w:pPr>
        <w:pStyle w:val="Standard"/>
      </w:pPr>
      <w:r>
        <w:t xml:space="preserve">Erste Anhaltspunkte für eine Beteiligung von humanen Papillomaviren bei der Ätiologie von Kopf-Hals-Plattenepithelkarzinomen gab es schon in den frühen 80-er Jahren (). In den 90-er Jahren wurden erste Arbeiten publiziert, in denen eine spezifische Assoziation zwischen HPV und den Tumoren des Waldeyer’schen Rachenrings gefunden wurden, welcher die Rachen-, Gaumen- und Zungengrundtonsillen einschließt (; ; ). Zudem fanden Andl et al. ()zum ersten Mal ein besseres Gesamt- und progressionsfreies Überleben für die Patienten mit HPV-positiven Tonsillenkarzinomen, obwohl diese Tumoren im Vergleich zu den HPV-negativen Tumoren durch eine schlechte Differenzierung charakterisiert waren und die Patienten fortgeschrittenere Tumorstadien aufwiesen als die Patienten mit HPV-negativen Tumoren. Seit dem Jahr 2000 erschienen mehrere große Studien (n&gt;90 Fälle), die eine kausale Assoziation vor allem zwischen dem HPV-Typ 16 und den Oropharynxkarzinomen (oropharyngeal squamous cell carcinomas, OPSCC) bestätigten (; ; ; ; ; ; ). In diesen Studien wurden zusätzlich mehr oder weniger gemeinsame Unterschiede zwischen den HPV-negativen und HPV-positiven OPSCC aufgezeigt. So waren Patienten mit HPV-positiven OPSCC in einigen Studien vor allem jünger (; ) und weiblichen Geschlechts (), während andere Studien eine Assoziation zwischen HPV-positiven Tumoren und einer undifferenzierten Histologie (; ), einer kleinen Tumorgröße () und häufig das Vorhandensein regionaler Lymphknotenmetastasen zum Zeitpunkt der Primärdiagnose aufzeigten (; ). Des Weiteren waren Patienten mit HPV-positiven Tumoren durch einen geringeren Tabak- und Alkoholkonsum (; ; ; ), sowie einer erhöhten Anzahl von Sexualpartnern und von oral-genitalen oder oral-analen Kontakten charakterisiert (; ). Vor allem aber wurde ein verbessertes Überleben für die Patienten mit HPV-positiven OPSCC in annähernd allen Studien belegt (; ; ; ; ; ). Eine Zusammenfassung der Unterschiede zwischen HPV-negativen und HPV-positiven Tumoren ist in Tabelle 11 dargestellt.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color w:val="000000"/>
        </w:rPr>
      </w:r>
      <w:r>
        <w:rPr>
          <w:rStyle w:val="Absatz-Standardschriftart"/>
          <w:color w:val="000000"/>
        </w:rPr>
      </w:r>
      <w:r>
        <w:rPr>
          <w:rStyle w:val="Absatz-Standardschriftart"/>
          <w:color w:val="000000"/>
        </w:rPr>
      </w:r>
      <w:r>
        <w:rPr>
          <w:rStyle w:val="Absatz-Standardschriftart"/>
        </w:rPr>
      </w:r>
      <w:r>
        <w:rPr>
          <w:rStyle w:val="Absatz-Standardschriftart"/>
        </w:rPr>
      </w:r>
    </w:p>
    <w:p>
      <w:pPr>
        <w:pStyle w:val="Beschriftung"/>
      </w:pPr>
      <w:r>
        <w:t>Tabelle 11: Unterschiede zwischen HPV-negativen und HPV-positiven Kopf-Hals Tumoren.</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p>
    <w:p>
      <w:pPr>
        <w:pStyle w:val="Standard"/>
      </w:pPr>
      <w:r>
        <w:t>Unter den HPV-positiven OPSCC wurden jedoch auch Heterogenitäten festgestellt (61, 84), die auf Unterschiede in der Viruslast und/oder der viralen Onkogenexpression zurückzu- führen waren (42, 43, 60, 70, 74, 80, 85-87). Am häufigsten findet sich hierbei mit knapp 95% der Fälle der Subtyp HPV 16, am zweithäufigsten der Subtyp HPV 18 [11-13].</w:t>
      </w:r>
      <w:r>
        <w:rPr>
          <w:rStyle w:val="Absatz-Standardschriftart"/>
        </w:rPr>
      </w:r>
      <w:r>
        <w:rPr>
          <w:rStyle w:val="Absatz-Standardschriftart"/>
        </w:rPr>
      </w:r>
    </w:p>
    <w:p>
      <w:pPr>
        <w:pStyle w:val="Standard"/>
      </w:pPr>
    </w:p>
    <w:p>
      <w:pPr>
        <w:pStyle w:val="Standard"/>
      </w:pPr>
      <w:r>
        <w:t>Als weitere Ursache von etwa einem Viertel der Plattenepithelkarzinome gilt, unabhängig von Alkohol- und Tabakkonsum, die Infektion mit dem Humanen Papillomavirus. Am häufigsten findet sich hierbei mit knapp 95% der Fälle der Subtyp HPV 16, am zweithäufigsten der Subtyp HPV 18 [11-13]. Innerhalb der HPV-positiven Karzinome stehen bei der Krankheitsentstehung sexuelle Verhaltensweisen im Vordergrund [14]. Ein Anstieg des oralen HPV- Infektionsrisikos ist demnach assoziiert mit der Anzahl der Sexualpartner. Impfstoffe, die zur Prävention des Zervixkarzinoms bei jungen Mädchen zwischen 12 und 17 Jahren unter anderem in Deutschland von der STIKO empfohlen werden, könnten für die Prävention von HPV-positiven Plattenepithelkarzinomen der Kopf-Hals-Region zukünftig von Wichtigkeit sein, da die hierbei am häufigsten vorkommenden Hochrisiko-HPV-Subtypen 16 und 18 abgedeckt werden [15-18].</w:t>
      </w:r>
      <w:r>
        <w:rPr>
          <w:rStyle w:val="Absatz-Standardschriftart"/>
        </w:rPr>
      </w:r>
      <w:r>
        <w:rPr>
          <w:rStyle w:val="Absatz-Standardschriftart"/>
        </w:rPr>
      </w:r>
    </w:p>
    <w:p>
      <w:pPr>
        <w:pStyle w:val="berschrift3"/>
      </w:pPr>
      <w:r>
        <w:t xml:space="preserve">Pathogenese </w:t>
      </w:r>
      <w:r>
        <w:rPr>
          <w:rStyle w:val="Absatz-Standardschriftart"/>
        </w:rPr>
      </w:r>
      <w:r>
        <w:rPr>
          <w:rStyle w:val="Absatz-Standardschriftart"/>
        </w:rPr>
      </w:r>
      <w:r>
        <w:rPr>
          <w:rStyle w:val="Absatz-Standardschriftart"/>
        </w:rPr>
      </w:r>
      <w:r>
        <w:rPr>
          <w:rStyle w:val="Absatz-Standardschriftart"/>
        </w:rPr>
      </w:r>
    </w:p>
    <w:p>
      <w:pPr>
        <w:pStyle w:val="Standard"/>
      </w:pPr>
      <w:r>
        <w:t>Die Entstehung eines Tumors beginnt mit der Transformation, der Umwandlung einer gesunden Zelle in eine Tumorzelle (). Diese läuft in vier Phasen ab und kann mehrere Jahre dauern. Zuerst ändern wachstumsregulatorische Gene ihre Struktur. Dazu kann es z.B. spontan, durch kanzerogene Noxen, durch Onkogene oder durch Schädigung von Kontrollgenen kommen. Diese Phase nennt man Initiationsphase. In der zweiten Phase scheitern zelluläre Reparaturmechanismen bei der Wiederherstellung der physiologischen Wachstumsregulation. In der dritten Phase schaffen es die Abwehrmechanismen nicht die transformierte Zelle zu zerstören. In der letzten Phase, der Promotionsphase, werden die veränderten genetischen Informationen von der Zelle umgesetzt. Die Bösartigkeit der entarteten Zellen ist dabei durch unkontrollierte Teilung und hohe Proliferationsraten charakterisiert (). Dadurch entsteht eine verschobene Kern- Plasma-Relation zugunsten des Kernes. Die Mitoserate ist erhöht und es zeigen sich viele atypische Mitosen. Die Zellen sind verstärkt anfärbbar, was man als Hyperchromatismus bezeichnet. Es kommt zu einer Entdifferenzierung, also einem Verlust der ursprünglichen Zellstruktur und der Funktionen des normalen Gewebes. Es zeigt sich ein Polymorphismus, eine Vielgestaltigkeit der Zellen oder eine Zellheterotopie, also ein Vorliegen eines Zelltyps an einer Lokalisation, an der er typischerweise nicht vorkommt. Es findet sich ein invasives, infiltrierendes und destruierendes Wachstum mit Durchbruch der Basalmembran und einer Neigung zu Metastasierung und Rezidiven (). Den Übergang von normalem Epithel über Dysplasien zu einem invasiven Karzinom zeigt die Abbildung 12.</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color w:val="000000"/>
          <w:sz w:val="20"/>
        </w:rPr>
      </w:r>
      <w:r>
        <w:rPr>
          <w:rStyle w:val="Absatz-Standardschriftart"/>
          <w:b/>
          <w:i/>
          <w:color w:val="000000"/>
          <w:sz w:val="20"/>
        </w:rPr>
      </w:r>
      <w:r>
        <w:rPr>
          <w:rStyle w:val="Absatz-Standardschriftart"/>
          <w:b/>
          <w:i/>
          <w:color w:val="000000"/>
          <w:sz w:val="20"/>
        </w:rPr>
      </w:r>
      <w:r>
        <w:rPr>
          <w:rStyle w:val="Absatz-Standardschriftart"/>
          <w:b/>
          <w:i/>
          <w:color w:val="000000"/>
          <w:sz w:val="20"/>
        </w:rPr>
      </w:r>
      <w:r>
        <w:rPr>
          <w:rStyle w:val="Absatz-Standardschriftart"/>
        </w:rPr>
      </w:r>
      <w:r>
        <w:rPr>
          <w:rStyle w:val="Absatz-Standardschriftart"/>
        </w:rPr>
      </w:r>
    </w:p>
    <w:p>
      <w:pPr>
        <w:pStyle w:val="Standard"/>
      </w:pPr>
      <w:r>
        <w:rPr>
          <w:rStyle w:val="Absatz-Standardschriftart"/>
        </w:rPr>
      </w:r>
    </w:p>
    <w:p>
      <w:r>
        <w:drawing>
          <wp:inline xmlns:a="http://schemas.openxmlformats.org/drawingml/2006/main" xmlns:pic="http://schemas.openxmlformats.org/drawingml/2006/picture">
            <wp:extent cx="5777345" cy="1471352"/>
            <wp:docPr id="2" name="Picture 2"/>
            <wp:cNvGraphicFramePr>
              <a:graphicFrameLocks noChangeAspect="1"/>
            </wp:cNvGraphicFramePr>
            <a:graphic>
              <a:graphicData uri="http://schemas.openxmlformats.org/drawingml/2006/picture">
                <pic:pic>
                  <pic:nvPicPr>
                    <pic:cNvPr id="0" name="image2.png"/>
                    <pic:cNvPicPr/>
                  </pic:nvPicPr>
                  <pic:blipFill>
                    <a:blip r:embed="rId10"/>
                    <a:stretch>
                      <a:fillRect/>
                    </a:stretch>
                  </pic:blipFill>
                  <pic:spPr>
                    <a:xfrm>
                      <a:off x="0" y="0"/>
                      <a:ext cx="5777345" cy="1471352"/>
                    </a:xfrm>
                    <a:prstGeom prst="rect"/>
                  </pic:spPr>
                </pic:pic>
              </a:graphicData>
            </a:graphic>
          </wp:inline>
        </w:drawing>
      </w:r>
    </w:p>
    <w:p>
      <w:pPr>
        <w:pStyle w:val="Beschriftung"/>
        <w:jc w:val="left"/>
      </w:pPr>
      <w:r>
        <w:t xml:space="preserve">Abbildung 12: Karzinogenes eines Mundschleimhautepithels zu einem invasivem Plattenepithelkarzinoms in der HE-Färbung(). </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p>
    <w:p>
      <w:pPr>
        <w:pStyle w:val="berschrift3"/>
      </w:pPr>
      <w:r>
        <w:t xml:space="preserve">Anatomie, Histopathologie und Tumorklassifikation </w:t>
      </w:r>
      <w:r>
        <w:rPr>
          <w:rStyle w:val="Absatz-Standardschriftart"/>
        </w:rPr>
      </w:r>
      <w:r>
        <w:rPr>
          <w:rStyle w:val="Absatz-Standardschriftart"/>
        </w:rPr>
      </w:r>
      <w:r>
        <w:rPr>
          <w:rStyle w:val="Absatz-Standardschriftart"/>
        </w:rPr>
      </w:r>
      <w:r>
        <w:rPr>
          <w:rStyle w:val="Absatz-Standardschriftart"/>
        </w:rPr>
      </w:r>
    </w:p>
    <w:p>
      <w:pPr>
        <w:pStyle w:val="Standard"/>
      </w:pPr>
      <w:r>
        <w:t>Zur Wahl des adäquaten Behandlungsverfahrens und zur exakten Dokumentation als Voraussetzung für den Vergleich von Therapieergebnissen ist eine Tumorklassifikation und eine Bestimmung der Tumorentität notwendig.</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 xml:space="preserve">Anatomische Einteilung </w:t>
      </w:r>
      <w:r>
        <w:rPr>
          <w:rStyle w:val="Absatz-Standardschriftart"/>
          <w:i/>
        </w:rPr>
      </w:r>
    </w:p>
    <w:p>
      <w:pPr>
        <w:pStyle w:val="Standard"/>
      </w:pPr>
      <w:r>
        <w:t xml:space="preserve">Tumore im Kopf-Hals-Bereich stellen eine heterogene Gruppe von bösartigen Neubildungen des oberen Aerodigestivtrakts dar und werden in 5 unterschiedliche anatomische Bereich unterteilt, nämlich in Mundhöhle, Naso-, Oro-, Hypopharynx und Larynx.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rPr>
          <w:rStyle w:val="Absatz-Standardschriftart"/>
        </w:rPr>
      </w:r>
    </w:p>
    <w:p>
      <w:r>
        <w:drawing>
          <wp:inline xmlns:a="http://schemas.openxmlformats.org/drawingml/2006/main" xmlns:pic="http://schemas.openxmlformats.org/drawingml/2006/picture">
            <wp:extent cx="17614900" cy="10845800"/>
            <wp:docPr id="3" name="Picture 3"/>
            <wp:cNvGraphicFramePr>
              <a:graphicFrameLocks noChangeAspect="1"/>
            </wp:cNvGraphicFramePr>
            <a:graphic>
              <a:graphicData uri="http://schemas.openxmlformats.org/drawingml/2006/picture">
                <pic:pic>
                  <pic:nvPicPr>
                    <pic:cNvPr id="0" name="image3.jpeg"/>
                    <pic:cNvPicPr/>
                  </pic:nvPicPr>
                  <pic:blipFill>
                    <a:blip r:embed="rId11"/>
                    <a:stretch>
                      <a:fillRect/>
                    </a:stretch>
                  </pic:blipFill>
                  <pic:spPr>
                    <a:xfrm>
                      <a:off x="0" y="0"/>
                      <a:ext cx="17614900" cy="10845800"/>
                    </a:xfrm>
                    <a:prstGeom prst="rect"/>
                  </pic:spPr>
                </pic:pic>
              </a:graphicData>
            </a:graphic>
          </wp:inline>
        </w:drawing>
      </w:r>
    </w:p>
    <w:p>
      <w:pPr>
        <w:pStyle w:val="Beschriftung"/>
      </w:pPr>
      <w:r>
        <w:t>Abbildung 13: Anatomie der Kopf-Hals-Region im Sagitalschnitt. Oral cavity, Mundhöhle; Tongue, Zunge; Larynx, Kehlkopf; Nasopharynx, Nasenrachenraum; Oropharynx, der Mundhöhle angrenzender Rachenraum; Hypopharynx, unterer Rachenraum ().</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r>
        <w:rPr>
          <w:rStyle w:val="Absatz-Standardschriftart"/>
          <w:i w:val="0"/>
          <w:color w:val="000000"/>
          <w:sz w:val="20"/>
        </w:rPr>
      </w:r>
    </w:p>
    <w:p>
      <w:pPr>
        <w:pStyle w:val="Standard"/>
      </w:pPr>
      <w:r>
        <w:t>In Bezug auf die Tumorlokalisation gehören die Zunge, sowie der Mundboden, das Zahnfleisch, der innere Teil der Lippen und der harte Gaumen zur Mundhöhle. Vom Tumorbefall sind am häufigsten die Lippen, die Zunge und der Mundboden betroffen. Die Lippen haben einen Anteil von bis zu 12% an den gesamten Tumoren im Kopf-Hals-Bereich (). Der Teil, der die Nasenhaupthöhlen und die Eustachi-Röhren mit dem oberen Teil des Rachens verbindet, wird als Nasopharynx bezeichnet. Der Oropharynx stellt den Bereich des Rachens dar, der der Mundhöhle angrenzt. Ihm werden die Tonsillen, der weiche Gaumen inklusive des Gaumenzäpfchens (Uvula), sowie der Zungengrund zugeordnet. Die häufigsten Tumorlokalisationen sind die Tonsillarfurche, der Zungengrund und der weiche Gaumen (). Der Hypopharynx stellt den unteren Teil des Rachens dar, der als Unterbezirke die Rachenhinterwand, die Postkrikoidregion und den Sinus piriformis einschließt. Letzterer stellt in diesem Bereich die bevorzugte Tumorlokalisation dar (; ; ). Unter den Rachentumoren haben Patienten mit Hypopharynxkarzinomen die schlechteste Prognose, da sie meist erst in weit fortgeschrittenen Tumorstadien diagnostiziert werden und außerdem durch eine frühe Metastasierung aufgrund des ausgedehnten lymphatischen Gewebes in dem Teil des Rachens charakterisiert sind. Ventral des Halses ist der Larynx lokalisiert, der als Teil des Atemtrakts die Verbindung vom Pharynx zur Trachea darstellt. Er wird in den supraglottischen, den glottischen und den subglottischen Bereich eingeteilt. Den glottischen Anteil des Larynx bildet die Stimmlippe mit der vorderen und der hinteren Kommissur. Hier finden sich mit etwa 60% die meisten Larynxkarzinome, gefolgt von supraglottischen Karzinomen (). Der subglottische Bereich ist äußerst selten von Malignomen befallen (; ). Der Kehldeckel (Epiglottis) ist eine mit Schleimhaut überzogene Knorpelplatte und liegt dorsal des Zungengrunds über dem Eingang des Larynx. Seine zum Rachen gewandte Seite gehört anatomisch zur Lokalisation des Hypopharynx, während seine Gegenseite dem Larynx angehört.</w:t>
      </w:r>
      <w:r>
        <w:rPr>
          <w:rStyle w:val="Absatz-Standardschriftart"/>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rPr>
      </w:r>
      <w:r>
        <w:rPr>
          <w:rStyle w:val="Absatz-Standardschriftart"/>
        </w:rPr>
      </w:r>
      <w:r>
        <w:rPr>
          <w:rStyle w:val="Absatz-Standardschriftart"/>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Tumorentitäten im Kopf-Hals-Bereich</w:t>
      </w:r>
      <w:r>
        <w:rPr>
          <w:rStyle w:val="Absatz-Standardschriftart"/>
          <w:i/>
        </w:rPr>
      </w:r>
      <w:r>
        <w:rPr>
          <w:rStyle w:val="Absatz-Standardschriftart"/>
          <w:i/>
        </w:rPr>
      </w:r>
    </w:p>
    <w:p>
      <w:pPr>
        <w:pStyle w:val="Standard"/>
      </w:pPr>
      <w:r>
        <w:t>Histologisch handelt es sich bei der großen Mehrheit der Malignome im Hals-Kopf-Bereich mit rund 90% um Plattenepithelkarzinomen, die insbesondere von den Schleimhäuten der Mundhöhle, des Naso-, Oro- und Hypopharynx ausgehen (; ). Als Vorstufen gelten Leukoplakien und Erythroplakien, wobei letztere zu 90% bereits ein Carcinoma in situ oder ein invasives Karzinom darstellen (). Laut WHO ist das Plattenepithelkarzinom des oberen Aerodigestivtrakts definiert als epithelialer Tumor mit plattenepithelialer Differenzierung, charakterisiert durch ein vom histologischen Malignitätsgrad abhängiges Ausmaß an Hornbildung und Vorhandensein von Interzellularbrücken. Wesentlich seltener mit etwa 3% der Neubildungen in Mundhöhle und Rachen sind Adenokarzinome, die vor allem bei den Speicheldrüsen vorkommen (; ). Darüber hinaus treten auch adenoid-zystische und Lymphoepitheliome (Schmincke-Tumor) maligne Lymphome und Sarkome vor (). auf (). HNSCC sind prognostisch für den Patienten sehr ungünstig, da sie sich häufig schon früh in den Halslymphknoten als Metastasen manifestieren. Bei einem geringen Anteil (1-12%) erfolgt die Erstdiagnose einzig auf dem Vorhandensein von regionalen Lymphknotenmetastasen, der Primärtumor wird nicht gefunden. Diese Diagnose wird als CUP-Syndrom (carcinoma of unknown primary, CUP) bezeichnet ().</w:t>
      </w:r>
      <w:r>
        <w:rPr>
          <w:rStyle w:val="Absatz-Standardschriftart"/>
        </w:rPr>
      </w:r>
      <w:r>
        <w:rPr>
          <w:rStyle w:val="Absatz-Standardschriftart"/>
        </w:rPr>
      </w:r>
      <w:r>
        <w:rPr>
          <w:rStyle w:val="Absatz-Standardschriftart"/>
        </w:rPr>
      </w:r>
      <w:r>
        <w:rPr>
          <w:rStyle w:val="Absatz-Standardschriftart"/>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Histomorphologische Malignitätsgraduierung von Kopf-Hals-Tumoren</w:t>
      </w:r>
      <w:r>
        <w:rPr>
          <w:rStyle w:val="Absatz-Standardschriftart"/>
          <w:i/>
        </w:rPr>
      </w:r>
      <w:r>
        <w:rPr>
          <w:rStyle w:val="Absatz-Standardschriftart"/>
          <w:i/>
        </w:rPr>
      </w:r>
      <w:r>
        <w:rPr>
          <w:rStyle w:val="Absatz-Standardschriftart"/>
          <w:i/>
        </w:rPr>
      </w:r>
      <w:r>
        <w:rPr>
          <w:rStyle w:val="Absatz-Standardschriftart"/>
          <w:i/>
        </w:rPr>
      </w:r>
    </w:p>
    <w:p>
      <w:pPr>
        <w:pStyle w:val="Standard"/>
      </w:pPr>
      <w:r>
        <w:t>Um das Wachstumsverhalten und die Aggressivität eines malignen Tumors auf histologischer Ebene beschreiben zu können, wurde ein histologisches Grading eingeführt (siehe Tabelle 12). Das Grading dient der histopathologischen Beschreibung des Differenzierungsgrades der Karzinome und gibt an wie sehr sich die entarteten Zellen von dem Zellen des Ausgangsgewebes unterscheiden (). Somit erlaubt diese histologische Klassifizierung eine gewisse Aussage über den Malignitätsgrad des Tumors. Beurteilungsgrundlagen für das Grading sind Zellreichtum, Mitoserate, Zellpleomorphie, Vorliegen von Nekrosen und Verhältnis von Zellen zu Interzellularsubstanz innerhalb des Tumorgewebes (). Die WHO-Definition der G-Kategorien in Tabelle 12 wird bei Tumoren aller Kopf-Hals-Regionen außer der Schilddrüse angewandt. Das konventionelle Kopf-Hals-Plattenepithelkarzinom wird traditionell in gut (G1), mäßig (G2) und schlecht/wenig (G3) differenzierte Plattenepithelkarzinome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color w:val="000000"/>
          <w:sz w:val="20"/>
        </w:rPr>
      </w:r>
      <w:r>
        <w:rPr>
          <w:rStyle w:val="Absatz-Standardschriftart"/>
          <w:b/>
          <w:i/>
          <w:color w:val="000000"/>
          <w:sz w:val="20"/>
        </w:rPr>
      </w:r>
      <w:r>
        <w:rPr>
          <w:rStyle w:val="Absatz-Standardschriftart"/>
          <w:b/>
          <w:i/>
          <w:color w:val="000000"/>
          <w:sz w:val="20"/>
        </w:rPr>
      </w:r>
      <w:r>
        <w:rPr>
          <w:rStyle w:val="Absatz-Standardschriftart"/>
          <w:b/>
          <w:i/>
          <w:color w:val="000000"/>
          <w:sz w:val="20"/>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color w:val="000000"/>
          <w:sz w:val="20"/>
        </w:rPr>
      </w:r>
      <w:r>
        <w:rPr>
          <w:rStyle w:val="Absatz-Standardschriftart"/>
          <w:b/>
          <w:i/>
          <w:color w:val="000000"/>
          <w:sz w:val="20"/>
        </w:rPr>
      </w:r>
      <w:r>
        <w:rPr>
          <w:rStyle w:val="Absatz-Standardschriftart"/>
          <w:b/>
          <w:i/>
          <w:color w:val="000000"/>
          <w:sz w:val="20"/>
        </w:rPr>
      </w:r>
      <w:r>
        <w:rPr>
          <w:rStyle w:val="Absatz-Standardschriftart"/>
          <w:b/>
          <w:i/>
          <w:color w:val="000000"/>
          <w:sz w:val="20"/>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Beschriftung"/>
      </w:pPr>
      <w:r>
        <w:t>Tabelle 12: Histopathologisches Grading der Tumore im Kopf-Hals-Bereich</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p>
    <w:p>
      <w:pPr>
        <w:pStyle w:val="Standard"/>
        <w:jc w:val="left"/>
      </w:pPr>
      <w:r>
        <w:rPr>
          <w:rStyle w:val="Absatz-Standardschriftart"/>
          <w:i/>
        </w:rPr>
      </w:r>
    </w:p>
    <w:p>
      <w:r>
        <w:drawing>
          <wp:inline xmlns:a="http://schemas.openxmlformats.org/drawingml/2006/main" xmlns:pic="http://schemas.openxmlformats.org/drawingml/2006/picture">
            <wp:extent cx="5752407" cy="2294312"/>
            <wp:docPr id="4" name="Picture 4"/>
            <wp:cNvGraphicFramePr>
              <a:graphicFrameLocks noChangeAspect="1"/>
            </wp:cNvGraphicFramePr>
            <a:graphic>
              <a:graphicData uri="http://schemas.openxmlformats.org/drawingml/2006/picture">
                <pic:pic>
                  <pic:nvPicPr>
                    <pic:cNvPr id="0" name="image4.png"/>
                    <pic:cNvPicPr/>
                  </pic:nvPicPr>
                  <pic:blipFill>
                    <a:blip r:embed="rId12"/>
                    <a:stretch>
                      <a:fillRect/>
                    </a:stretch>
                  </pic:blipFill>
                  <pic:spPr>
                    <a:xfrm>
                      <a:off x="0" y="0"/>
                      <a:ext cx="5752407" cy="2294312"/>
                    </a:xfrm>
                    <a:prstGeom prst="rect"/>
                  </pic:spPr>
                </pic:pic>
              </a:graphicData>
            </a:graphic>
          </wp:inline>
        </w:drawing>
      </w:r>
    </w:p>
    <w:p>
      <w:pPr>
        <w:pStyle w:val="Beschriftung"/>
        <w:jc w:val="left"/>
      </w:pPr>
      <w:r>
        <w:t>Abbildung 14: a Gut differenziertes Plattenepithelkarzinom. b Mäßig differenziertes Plattenepithelkarzinom. c Gering differenziertes Plattenepithelkarzinom ().</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p>
    <w:p>
      <w:pPr>
        <w:pStyle w:val="Standard"/>
        <w:jc w:val="left"/>
      </w:pPr>
      <w:r>
        <w:t xml:space="preserve">Histopathologische Typen des Kopf-Hals-Plattenepithelkarzinoms  </w:t>
      </w:r>
      <w:r>
        <w:rPr>
          <w:rStyle w:val="Absatz-Standardschriftart"/>
          <w:i/>
        </w:rPr>
      </w:r>
      <w:r>
        <w:rPr>
          <w:rStyle w:val="Absatz-Standardschriftart"/>
          <w:i/>
        </w:rPr>
      </w:r>
      <w:r>
        <w:rPr>
          <w:rStyle w:val="Absatz-Standardschriftart"/>
          <w:i/>
        </w:rPr>
      </w:r>
      <w:r>
        <w:rPr>
          <w:rStyle w:val="Absatz-Standardschriftart"/>
          <w:i/>
        </w:rPr>
      </w:r>
      <w:r>
        <w:rPr>
          <w:rStyle w:val="Absatz-Standardschriftart"/>
          <w:i/>
        </w:rPr>
      </w:r>
      <w:r>
        <w:rPr>
          <w:rStyle w:val="Absatz-Standardschriftart"/>
          <w:i/>
        </w:rPr>
      </w:r>
    </w:p>
    <w:p>
      <w:pPr>
        <w:pStyle w:val="Standard"/>
      </w:pPr>
      <w:r>
        <w:t>Über 80% der Plattenepithelkarzinome des Kopf-Hals-Bereichs entsprechen typischen verhornenden oder nichtverhornenden Plattenepithelkarzinomen. Der restliche Teil verteilt sich auf jeweils seltene Subtypen, dessen sichere Erkennung hinsichtlich der unterschiedlichen prognostischen und therapeutischen Konsequenzen, von Bedeutung ist (siehe Tabelle 13). Das konventionelle Plattenepithelkarzinom des Kopf-Hals-Bereichs bestehet aus atypischen epithelialen Tumorzellformationen, die in das subepitheliale Stroma infiltrierend und destruierend einwachsen (). Die Zellen neigen zur Verhornung und je nach Differenzierungsgrad bilden sich sogenannte Hornperlen aus, die vor allem bei gut differenzierten Plattenepithelkarzinomen zu finden sind (). Des weiteren sind die Kernpleomorphie, die Häufigkeit von atypischen Mitosen oder die Kernhyperchromasie typische Charakteristika der Tumorzellen. () In der Tumorumgebung findet sich häufig ein gemischtzelliges Entzündungsinfiltrat (). Der größte Teil der Plattenepithelkarzinomen präsentiert sich makroskopisch als exophytische, ulzerative oder kombinierte Läsion (). Exophytische Läsionen sind seltener und weniger infiltrativ wachsend als ulzerative Läsionen ().18 „Low grade“ Tumore sind stärker verhornt, haben seltener atypische Mitosen und sind besser differenziert (). Neben dem konventionellen Plattenepithelkarzinom werden von der WHO, das verruköse Karzinom, Spindelzellkarzinom, des Basaloides Karzinom und das Lymphoepitheliales Karzinom als seltene histopathologische Subtypen unterschieden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b/>
          <w:color w:val="000000"/>
          <w:sz w:val="20"/>
        </w:rPr>
      </w:r>
      <w:r>
        <w:rPr>
          <w:rStyle w:val="Absatz-Standardschriftart"/>
          <w:b/>
          <w:i/>
          <w:color w:val="000000"/>
          <w:sz w:val="20"/>
        </w:rPr>
      </w:r>
      <w:r>
        <w:rPr>
          <w:rStyle w:val="Absatz-Standardschriftart"/>
          <w:b/>
          <w:i/>
          <w:color w:val="000000"/>
          <w:sz w:val="20"/>
        </w:rPr>
      </w:r>
      <w:r>
        <w:rPr>
          <w:rStyle w:val="Absatz-Standardschriftart"/>
          <w:b/>
          <w:i/>
          <w:color w:val="000000"/>
          <w:sz w:val="20"/>
        </w:rPr>
      </w:r>
      <w:r>
        <w:rPr>
          <w:rStyle w:val="Absatz-Standardschriftart"/>
        </w:rPr>
      </w:r>
      <w:r>
        <w:rPr>
          <w:rStyle w:val="Absatz-Standardschriftart"/>
        </w:rPr>
      </w:r>
      <w:r>
        <w:rPr>
          <w:rStyle w:val="Absatz-Standardschriftart"/>
        </w:rPr>
      </w:r>
      <w:r>
        <w:rPr>
          <w:rStyle w:val="Absatz-Standardschriftart"/>
        </w:rPr>
      </w:r>
      <w:r>
        <w:rPr>
          <w:rStyle w:val="Absatz-Standardschriftart"/>
          <w:b/>
        </w:rPr>
      </w:r>
      <w:r>
        <w:rPr>
          <w:rStyle w:val="Absatz-Standardschriftart"/>
          <w:b/>
        </w:rPr>
      </w:r>
      <w:r>
        <w:rPr>
          <w:rStyle w:val="Absatz-Standardschriftart"/>
          <w:b/>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Beschriftung"/>
      </w:pPr>
      <w:r>
        <w:t>Tabelle 13: Histopathologische Subtypen des Plattenepithelkarzinoms</w:t>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r>
        <w:rPr>
          <w:rStyle w:val="Absatz-Standardschriftart"/>
          <w:b/>
          <w:i w:val="0"/>
          <w:color w:val="000000"/>
          <w:sz w:val="20"/>
        </w:rPr>
      </w:r>
    </w:p>
    <w:p>
      <w:pPr>
        <w:pStyle w:val="Standard"/>
      </w:pPr>
      <w:r>
        <w:t>Auf die weiteren, sehr seltenen malignen Tumoren wie Lym- phome, maligne Melanome, Sarkome oder Knochentumoren soll hier nicht weiter eingegangen werden, da sie auch im Studienkollektiv nicht vorkommen.</w:t>
      </w:r>
      <w:r>
        <w:rPr>
          <w:rStyle w:val="Absatz-Standardschriftart"/>
        </w:rPr>
      </w:r>
    </w:p>
    <w:p>
      <w:pPr>
        <w:pStyle w:val="Standard"/>
      </w:pPr>
    </w:p>
    <w:p>
      <w:pPr>
        <w:pStyle w:val="Standard"/>
        <w:jc w:val="left"/>
      </w:pPr>
      <w:r>
        <w:br/>
      </w:r>
      <w:r>
        <w:rPr>
          <w:rStyle w:val="Absatz-Standardschriftart"/>
          <w:i/>
        </w:rPr>
      </w:r>
    </w:p>
    <w:p>
      <w:pPr>
        <w:pStyle w:val="Standard"/>
      </w:pPr>
      <w:r>
        <w:t>Klinische und pathologische TNM-Klassifikation</w:t>
      </w:r>
      <w:r>
        <w:rPr>
          <w:rStyle w:val="Absatz-Standardschriftart"/>
          <w:i/>
        </w:rPr>
      </w:r>
      <w:r>
        <w:rPr>
          <w:rStyle w:val="Absatz-Standardschriftart"/>
          <w:i/>
        </w:rPr>
      </w:r>
    </w:p>
    <w:p>
      <w:pPr>
        <w:pStyle w:val="Standard"/>
      </w:pPr>
      <w:r>
        <w:t>System zur Einteilung maligner Tumoren. Die TNM-Klassifikation ist weltweit die verbreitetste Systematik für die Beschreibung von Neoplasien und erlaubt eine therapeutische und prognostische Einschätzung. Sie besteht aus drei zentralen Bestandteilen: „T“ (Tumor) beschreibt die Ausdehnung und das Verhalten des Primärtumors, „N“ (Nodus) den Befallstatus regionärer Lymphknoten und „M“ (Metastase) das Vorhandensein von Fernmetastasen.</w:t>
      </w:r>
      <w:r>
        <w:rPr>
          <w:rStyle w:val="Absatz-Standardschriftart"/>
        </w:rPr>
      </w:r>
    </w:p>
    <w:p>
      <w:pPr>
        <w:pStyle w:val="Standard"/>
      </w:pPr>
      <w:r>
        <w:t>* Unterbezirke des Hypopharynx: Postkrikoidregion, Sinus piriformis. Hypopharynxhinterwand</w:t>
      </w:r>
      <w:r>
        <w:rPr>
          <w:rStyle w:val="Absatz-Standardschriftart"/>
          <w:sz w:val="18"/>
        </w:rPr>
      </w:r>
    </w:p>
    <w:p>
      <w:pPr>
        <w:pStyle w:val="Standard"/>
      </w:pPr>
      <w:r>
        <w:t>** DOI (depth of invasion), max. Invasionstiefe</w:t>
      </w:r>
      <w:r>
        <w:rPr>
          <w:rStyle w:val="Absatz-Standardschriftart"/>
          <w:sz w:val="18"/>
        </w:rPr>
      </w:r>
      <w:r>
        <w:rPr>
          <w:rStyle w:val="Absatz-Standardschriftart"/>
          <w:sz w:val="18"/>
        </w:rPr>
      </w:r>
      <w:r>
        <w:rPr>
          <w:rStyle w:val="Absatz-Standardschriftart"/>
          <w:sz w:val="18"/>
        </w:rPr>
      </w:r>
      <w:r>
        <w:rPr>
          <w:rStyle w:val="Absatz-Standardschriftart"/>
          <w:sz w:val="18"/>
        </w:rPr>
      </w:r>
    </w:p>
    <w:p>
      <w:pPr>
        <w:pStyle w:val="Standard"/>
      </w:pPr>
      <w:r>
        <w:t>Metastasierung</w:t>
      </w:r>
      <w:r>
        <w:rPr>
          <w:rStyle w:val="Absatz-Standardschriftart"/>
          <w:i/>
        </w:rPr>
      </w:r>
    </w:p>
    <w:p>
      <w:pPr>
        <w:pStyle w:val="Standard"/>
      </w:pPr>
      <w:r>
        <w:t>Zumeist besteht bereits bei Erstdiagnose eine Metastasierung in lokoregionäre Lymphknoten. Die Einteilung erfolgt dabei in sechs verschiedene Level, die der folgenden Tabelle zu entnehmen sind. [23, 24]</w:t>
      </w:r>
      <w:r>
        <w:rPr>
          <w:rStyle w:val="Absatz-Standardschriftart"/>
        </w:rPr>
      </w:r>
    </w:p>
    <w:p>
      <w:pPr>
        <w:pStyle w:val="Standard"/>
      </w:pPr>
      <w:r>
        <w:t>Im Falle einer Fernmetastasierung treten pulmonale Metastasen und mediastinaler Lymphknotenbefall am häufigsten auf, gefolgt von Knochenmetastasen, insbesondere in der Wirbelsäule, dem Schädel und den Rippen, und schließlich Lebermetastasen. [25-27]. Die Wahrscheinlichkeit für eine Fernmetastasierung ist beim Hypopharynxkarzinom am höchsten [25, 26]. Sie wird von Vokes et al. mit 20% bei Erstdiagnose angegeben [28]. Am zweithöchsten ist die Inzidenz bei Primärtumoren des Oropharynx (Zungengrund-Karzinom) und am dritthöchsten bei Tumoren der Mundhöhle (vordere Zunge) [25].</w:t>
      </w:r>
      <w:r>
        <w:rPr>
          <w:rStyle w:val="Absatz-Standardschriftart"/>
        </w:rPr>
      </w:r>
    </w:p>
    <w:p>
      <w:pPr>
        <w:pStyle w:val="Standard"/>
      </w:pPr>
      <w:r>
        <w:t xml:space="preserve">   Level Lymphknotenregionen</w:t>
      </w:r>
      <w:r>
        <w:rPr>
          <w:rStyle w:val="Absatz-Standardschriftart"/>
        </w:rPr>
      </w:r>
    </w:p>
    <w:p>
      <w:pPr>
        <w:pStyle w:val="Standard"/>
      </w:pPr>
      <w:r>
        <w:t xml:space="preserve">   I Submentale (Ia) und submandibuläre (Ib) Lymphknoten</w:t>
      </w:r>
      <w:r>
        <w:rPr>
          <w:rStyle w:val="Absatz-Standardschriftart"/>
        </w:rPr>
      </w:r>
    </w:p>
    <w:p>
      <w:pPr>
        <w:pStyle w:val="Standard"/>
      </w:pPr>
      <w:r>
        <w:t xml:space="preserve">    II IIa IIb</w:t>
      </w:r>
      <w:r>
        <w:rPr>
          <w:rStyle w:val="Absatz-Standardschriftart"/>
        </w:rPr>
      </w:r>
    </w:p>
    <w:p>
      <w:pPr>
        <w:pStyle w:val="Standard"/>
      </w:pPr>
      <w:r>
        <w:t>Kraniojuguläre Lymphknoten (oberes Drittel der V. jugularis interna)</w:t>
      </w:r>
      <w:r>
        <w:rPr>
          <w:rStyle w:val="Absatz-Standardschriftart"/>
        </w:rPr>
      </w:r>
    </w:p>
    <w:p>
      <w:pPr>
        <w:pStyle w:val="Standard"/>
      </w:pPr>
      <w:r>
        <w:t>- ventral des N. accessorius</w:t>
      </w:r>
      <w:r>
        <w:rPr>
          <w:rStyle w:val="Absatz-Standardschriftart"/>
        </w:rPr>
      </w:r>
    </w:p>
    <w:p>
      <w:pPr>
        <w:pStyle w:val="Standard"/>
      </w:pPr>
      <w:r>
        <w:t>- dorsal des N. accessorius</w:t>
      </w:r>
      <w:r>
        <w:rPr>
          <w:rStyle w:val="Absatz-Standardschriftart"/>
        </w:rPr>
      </w:r>
    </w:p>
    <w:p>
      <w:pPr>
        <w:pStyle w:val="Standard"/>
      </w:pPr>
      <w:r>
        <w:t xml:space="preserve">     III</w:t>
      </w:r>
      <w:r>
        <w:rPr>
          <w:rStyle w:val="Absatz-Standardschriftart"/>
        </w:rPr>
      </w:r>
      <w:r>
        <w:rPr>
          <w:rStyle w:val="Absatz-Standardschriftart"/>
        </w:rPr>
      </w:r>
    </w:p>
    <w:p>
      <w:pPr>
        <w:pStyle w:val="Standard"/>
      </w:pPr>
      <w:r>
        <w:t>Mediojuguläre Lymphknoten (mittleres Drittel</w:t>
      </w:r>
      <w:r>
        <w:rPr>
          <w:rStyle w:val="Absatz-Standardschriftart"/>
        </w:rPr>
      </w:r>
    </w:p>
    <w:p>
      <w:pPr>
        <w:pStyle w:val="Standard"/>
      </w:pPr>
      <w:r>
        <w:t>der V. jugularis interna)</w:t>
      </w:r>
      <w:r>
        <w:rPr>
          <w:rStyle w:val="Absatz-Standardschriftart"/>
        </w:rPr>
      </w:r>
    </w:p>
    <w:p>
      <w:pPr>
        <w:pStyle w:val="Standard"/>
      </w:pPr>
      <w:r>
        <w:t xml:space="preserve">  IV Kaudojuguläre Lymphknoten (unteres Drittel der V. jugularis interna)</w:t>
      </w:r>
      <w:r>
        <w:rPr>
          <w:rStyle w:val="Absatz-Standardschriftart"/>
        </w:rPr>
      </w:r>
    </w:p>
    <w:p>
      <w:pPr>
        <w:pStyle w:val="Standard"/>
      </w:pPr>
      <w:r>
        <w:t>VI Lymphknoten des anterioren Halsdreiecks</w:t>
      </w:r>
      <w:r>
        <w:rPr>
          <w:rStyle w:val="Absatz-Standardschriftart"/>
        </w:rPr>
      </w:r>
    </w:p>
    <w:p>
      <w:pPr>
        <w:pStyle w:val="Standard"/>
      </w:pPr>
      <w:r>
        <w:t>Tab. 1. Einteilung der Lymphknotenregionen</w:t>
      </w:r>
      <w:r>
        <w:rPr>
          <w:rStyle w:val="Absatz-Standardschriftart"/>
        </w:rPr>
      </w:r>
    </w:p>
    <w:p>
      <w:pPr>
        <w:pStyle w:val="Standard"/>
      </w:pPr>
      <w:r>
        <w:t xml:space="preserve">   V Va Vb</w:t>
      </w:r>
      <w:r>
        <w:rPr>
          <w:rStyle w:val="Absatz-Standardschriftart"/>
        </w:rPr>
      </w:r>
    </w:p>
    <w:p>
      <w:pPr>
        <w:pStyle w:val="Standard"/>
      </w:pPr>
      <w:r>
        <w:t>Lymphknoten des posterioren Halsdreiecks Kraniales posteriores Halsdreieck Kaudales posteriores Halsdreieck</w:t>
      </w:r>
      <w:r>
        <w:rPr>
          <w:rStyle w:val="Absatz-Standardschriftart"/>
        </w:rPr>
      </w:r>
    </w:p>
    <w:p>
      <w:pPr>
        <w:pStyle w:val="berschrift3"/>
      </w:pPr>
      <w:r>
        <w:t>Klassifikation und Stadien nach AJCC</w:t>
      </w:r>
      <w:r>
        <w:rPr>
          <w:rStyle w:val="Absatz-Standardschriftart"/>
        </w:rPr>
      </w:r>
    </w:p>
    <w:p>
      <w:pPr>
        <w:pStyle w:val="Standard"/>
      </w:pPr>
      <w:r>
        <w:t>Die Klassifikation der Kopf-Hals-Karzinome erfolgt nach der für viele Tumorentitäten üblichen TNM (tumor, node, metastasis)-System des AJCC (American Committee on Cancer) und der UICC (International Union for Cancer Control). Die einheitliche Einteilung der Tumoren bei der Diagnose ist für die Therapieentscheidung und Prognose äußerst wichtig. Zum Zeitpunkt der Erstellung der Doktorarbeit wurden die Patienten nach Version 7 eingeteilt.</w:t>
      </w:r>
      <w:r>
        <w:rPr>
          <w:rStyle w:val="Absatz-Standardschriftart"/>
        </w:rPr>
      </w:r>
    </w:p>
    <w:p>
      <w:pPr>
        <w:pStyle w:val="berschrift3"/>
      </w:pPr>
      <w:r>
        <w:t xml:space="preserve">Diagnostik &amp; Staging </w:t>
      </w:r>
      <w:r>
        <w:rPr>
          <w:rStyle w:val="Absatz-Standardschriftart"/>
        </w:rPr>
      </w:r>
      <w:r>
        <w:rPr>
          <w:rStyle w:val="Absatz-Standardschriftart"/>
        </w:rPr>
      </w:r>
      <w:r>
        <w:rPr>
          <w:rStyle w:val="Absatz-Standardschriftart"/>
        </w:rPr>
      </w:r>
    </w:p>
    <w:p>
      <w:pPr>
        <w:pStyle w:val="Standard"/>
      </w:pPr>
      <w:r>
        <w:t>Zu den bildgebenden Verfahren gehört die Sonographie, mit der Lymphknotenmetastasen des Halses diagnostiziert werden können, genauere Ergebnisse liefern jedoch generell die CT- oder MRT-Untersuchung.</w:t>
      </w:r>
      <w:r>
        <w:rPr>
          <w:rStyle w:val="Absatz-Standardschriftart"/>
        </w:rPr>
      </w:r>
    </w:p>
    <w:p>
      <w:pPr>
        <w:pStyle w:val="Standard"/>
      </w:pPr>
      <w:r>
        <w:t>Die Rolle der Fluorodeoxyglucose (FDG)-PET/CT-Untersuchung wird immer wichtiger, insbesondere zum Ausschluss einer Metastasierung sowie zur Kontrolle des Therapieansprechens nach einer defintiven Radio(-chemo)therapie. Ebenso ist die Überwachung mittels PET-CT kostengünstiger und verursacht weniger Folgeoperationen als eine Ausräumung der Halslymphknoten (Neck-Dissection) bei den Lymphknotenstadien N2 und N3 [29]. Die histologische Klassifikation des Tumors erfolgt nach einer Panendoskopie mit Probenexzision [21, 22, 28]. Eine technisch einfach durchführbare Untersuchung auf das humane Papillomavirus stellt der immunhistochemische Nachweis des Markers p16 dar, dessen Expression stark mit einer HPV-Infektion korreliert [30, 31].</w:t>
      </w:r>
      <w:r>
        <w:rPr>
          <w:rStyle w:val="Absatz-Standardschriftart"/>
        </w:rPr>
      </w:r>
    </w:p>
    <w:p>
      <w:pPr>
        <w:pStyle w:val="berschrift3"/>
      </w:pPr>
      <w:r>
        <w:t>Therapie</w:t>
      </w:r>
      <w:r>
        <w:rPr>
          <w:rStyle w:val="Absatz-Standardschriftart"/>
        </w:rPr>
      </w:r>
    </w:p>
    <w:p>
      <w:pPr>
        <w:pStyle w:val="Standard"/>
      </w:pPr>
      <w:r>
        <w:t xml:space="preserve">Bösartige Tumoren </w:t>
      </w:r>
      <w:r>
        <w:rPr>
          <w:rStyle w:val="Absatz-Standardschriftart"/>
        </w:rPr>
      </w:r>
      <w:r>
        <w:rPr>
          <w:rStyle w:val="Absatz-Standardschriftart"/>
        </w:rPr>
      </w:r>
    </w:p>
    <w:p>
      <w:pPr>
        <w:pStyle w:val="Standard"/>
      </w:pPr>
      <w:r>
        <w:t>Die Art der Therapie richtet sich nach dem Allgemeinzustand des Patienten, der Tumorgröße, -ausbreitung und -lokalisation [32, 33]. Das Therapiekonzept wird interdisziplinär in einem Tumorboard festgelegt.</w:t>
      </w:r>
      <w:r>
        <w:rPr>
          <w:rStyle w:val="Absatz-Standardschriftart"/>
        </w:rPr>
      </w:r>
    </w:p>
    <w:p>
      <w:pPr>
        <w:pStyle w:val="Standard"/>
      </w:pPr>
      <w:r>
        <w:t>Chirurgische Tumorresektion</w:t>
      </w:r>
      <w:r>
        <w:rPr>
          <w:rStyle w:val="Absatz-Standardschriftart"/>
          <w:i/>
        </w:rPr>
      </w:r>
    </w:p>
    <w:p>
      <w:pPr>
        <w:pStyle w:val="Standard"/>
      </w:pPr>
      <w:r>
        <w:t>Das Ziel der operativen Versorgung ist die Entfernung der gesamten Tumormasse im Gesunden, intraoperativ lässt sich dies mittels histopathologischer Schnellschnittuntersuchung verfolgen. Die Möglichkeiten zur R0-Resektion können jedoch durch die Tumorgröße und -ausdehnung, die Lymphknotengröße und dem Ziel des Organ- und Funktionserhalts limitiert werden. [34, 35] Nach der Tumorresektion kann eine plastische Rekonstruktion für den Erhlt der Kau-, Sprech- und Schluckfunktion und der Gesichtsästhetik notwendig sein. Je nach Anzahl der befallenen Lymphknoten, Größe und Lokalisation des Primärtumors, wird eine Neck-Dissection in unterschiedlicher Ausdehnung und Radikalität durchgeführt.</w:t>
      </w:r>
      <w:r>
        <w:rPr>
          <w:rStyle w:val="Absatz-Standardschriftart"/>
        </w:rPr>
      </w:r>
      <w:r>
        <w:rPr>
          <w:rStyle w:val="Absatz-Standardschriftart"/>
        </w:rPr>
      </w:r>
      <w:r>
        <w:rPr>
          <w:rStyle w:val="Absatz-Standardschriftart"/>
        </w:rPr>
      </w:r>
    </w:p>
    <w:p>
      <w:pPr>
        <w:pStyle w:val="Standard"/>
      </w:pPr>
      <w:r>
        <w:t>Bei kleinen Tumoren stellt die operative Resektion meist die alleinige Therapie dar [32, 35]. In der palliativen Tumorsituation kann ein operativer Eingriff und die damit verbundene Reduktion der Tumormasse zu einer Wiederherstellung von wichtigen Funktionen wie der Atmung, der Stimme oder des Schluckaktes führen. [21, 32, 35]</w:t>
      </w:r>
      <w:r>
        <w:rPr>
          <w:rStyle w:val="Absatz-Standardschriftart"/>
        </w:rPr>
      </w:r>
    </w:p>
    <w:p>
      <w:pPr>
        <w:pStyle w:val="Standard"/>
      </w:pPr>
      <w:r>
        <w:t>Primäre Radiotherapie</w:t>
      </w:r>
      <w:r>
        <w:rPr>
          <w:rStyle w:val="Absatz-Standardschriftart"/>
          <w:i/>
        </w:rPr>
      </w:r>
    </w:p>
    <w:p>
      <w:pPr>
        <w:pStyle w:val="Standard"/>
      </w:pPr>
      <w:r>
        <w:t>Die primäre Radiotherapie kann bei frühen Tumorstadien ohne Lymphknotenbefall zum Einsatz kommen und ist einer chirurgischen Tumorresektion prinzipiell gleichwertig [36, 37]. Zudem wird die primäre Strahlentherapie bei inoperablen Tumoren und bei Tumoren, deren Organ- und Funktionserhalt operativ nicht erreicht werden kann, eingesetzt [38]. Eine Steigerung des Therapieeffekts kann durch die konkomitante Gabe von Chemotherapeutika erreicht werden. Durch die Chemotherapie wird einer Tumorrepopulation und einer möglichen Mikrometastasierung vorgebeugt. Des Weiteren dienen Chemotherapeutika durch Radiosensitivierung zur Wirkungsverstärkung der Strahlentherapie [39, 40]. Wenn ca. zwölf Wochen nach Abschluss einer primären Radio(-chemo)therapie bildgebend noch pathologische Lymphknoten nachweisbar sind, sollte eine Salvage- bzw. Rettungsoperation evaluiert werden, in der die Lymphknoten ausgeräumt werden (sog. „node picking“).</w:t>
      </w:r>
      <w:r>
        <w:rPr>
          <w:rStyle w:val="Absatz-Standardschriftart"/>
        </w:rPr>
      </w:r>
    </w:p>
    <w:p>
      <w:pPr>
        <w:pStyle w:val="Standard"/>
      </w:pPr>
      <w:r>
        <w:t>Die konventionelle primäre Radiotherapie besteht in der Regel aus 35 Fraktionen mit 2,0 Gy täglich, fünf Mal wöchentlich, über sieben Wochen, was eine Gesamtdosis von 70,0 Gy ergibt [34, 41]. Neben der konventionellen Fraktionierung können bei der primären Radiotherapie sowohl die Hyperfraktionierung als auch die akzelerierte Fraktionierung angewendet werden</w:t>
      </w:r>
      <w:r>
        <w:rPr>
          <w:rStyle w:val="Absatz-Standardschriftart"/>
        </w:rPr>
      </w:r>
    </w:p>
    <w:p>
      <w:pPr>
        <w:pStyle w:val="Standard"/>
      </w:pPr>
      <w:r>
        <w:t>5</w:t>
      </w:r>
      <w:r>
        <w:rPr>
          <w:rStyle w:val="Absatz-Standardschriftart"/>
        </w:rPr>
      </w:r>
    </w:p>
    <w:p>
      <w:pPr>
        <w:pStyle w:val="Standard"/>
      </w:pPr>
    </w:p>
    <w:p>
      <w:pPr>
        <w:pStyle w:val="Standard"/>
      </w:pPr>
      <w:r>
        <w:t>[37]. Bei der hyperfraktionierten Radiotherapie wird pro Fraktion eine geringere Dosis, diese jedoch zwei- bis dreimal täglich verabreicht. Somit wird bei einer gleichbleibenden Bestrahlungsdauer eine höhere Gesamtdosis erreicht. Das Ziel dieser Methode ist die Verbesserung der therapeutischen Ratio (Verhältnis von Anti-Tumorwirkung zu Nebenwirkung).</w:t>
      </w:r>
      <w:r>
        <w:rPr>
          <w:rStyle w:val="Absatz-Standardschriftart"/>
        </w:rPr>
      </w:r>
    </w:p>
    <w:p>
      <w:pPr>
        <w:pStyle w:val="Standard"/>
      </w:pPr>
      <w:r>
        <w:t>Im Gegensatz dazu wird bei der akzelerierten Strahlentherapie die Gesamttherapiedauer verkürzt, indem die wöchentliche Dosis erhöht wird. Das Ziel ist die Minimierung der Tumorzellproliferation in der Zeit zwischen den einzelnen Bestrahlungen. [34, 41]</w:t>
      </w:r>
      <w:r>
        <w:rPr>
          <w:rStyle w:val="Absatz-Standardschriftart"/>
        </w:rPr>
      </w:r>
    </w:p>
    <w:p>
      <w:pPr>
        <w:pStyle w:val="Standard"/>
      </w:pPr>
      <w:r>
        <w:t>In verschiedenen Studien, u.a. in denen von Horiot et al. und Fu et al. wurde bislang aufgezeigt, dass die Hyperfraktionierung und die Akzeleration bezüglich der lokoregionären Kontrollrate und des krankheitsfreien Überlebens eine Verbesserung der Prognose herbeiführen. Es bestand kein signifikanter Unterschied zur konventionellen Fraktionierung im Hinblick auf die Ausprägung der Spättoxizitäten, mit Ausnahme bei der Kombination aus Akzelerierung und konkomitantem Boost, bei der ein Anstieg der Spättoxizität zu verzeichnen war. [42, 43] Allerdings ist bei einer Hyperfraktionierung mit einer stärkeren Ausprägung der Akuttoxizitäten, insbesondere der Mukositis, zu rechnen. [42, 44].</w:t>
      </w:r>
      <w:r>
        <w:rPr>
          <w:rStyle w:val="Absatz-Standardschriftart"/>
        </w:rPr>
      </w:r>
    </w:p>
    <w:p>
      <w:pPr>
        <w:pStyle w:val="Standard"/>
      </w:pPr>
      <w:r>
        <w:t>Seit Einführung der Radiochemotherapie ist jedoch meist die Normo- fraktionierung mit simultaner Chemotherapie Standard. [45]</w:t>
      </w:r>
      <w:r>
        <w:rPr>
          <w:rStyle w:val="Absatz-Standardschriftart"/>
        </w:rPr>
      </w:r>
    </w:p>
    <w:p>
      <w:pPr>
        <w:pStyle w:val="Standard"/>
      </w:pPr>
      <w:r>
        <w:t>Adjuvante Radio(-chemo)therapie</w:t>
      </w:r>
      <w:r>
        <w:rPr>
          <w:rStyle w:val="Absatz-Standardschriftart"/>
          <w:i/>
        </w:rPr>
      </w:r>
    </w:p>
    <w:p>
      <w:pPr>
        <w:pStyle w:val="Standard"/>
      </w:pPr>
      <w:r>
        <w:t>Eine postoperative adjuvante Radiotherapie ist indiziert in lokal fortgeschrittenen Tumorstadien (≥pT3), bei Lymphknotenbefall &gt;pN1, einer Lymphangiosis und Hämangiosis carcinomatosa sowie bei Perineuralscheideninfiltration. [32] Hierbei wird die normofraktionierte Radiotherapie eingesetzt. Die Strahlentherapie soll ohne Verzögerung, idealerweise zeitnah nach der Wundheilung begonnen werden, um eine Proliferation der Tumorzellen zu vermeiden. Insgesamt sollte eine Zeit von elf Wochen für die gesamte Behandlungszeit nach der Operation nicht überschritten werden. [37, 46, 47].</w:t>
      </w:r>
      <w:r>
        <w:rPr>
          <w:rStyle w:val="Absatz-Standardschriftart"/>
        </w:rPr>
      </w:r>
    </w:p>
    <w:p>
      <w:pPr>
        <w:pStyle w:val="Standard"/>
      </w:pPr>
    </w:p>
    <w:p>
      <w:pPr>
        <w:pStyle w:val="Standard"/>
      </w:pPr>
      <w:r>
        <w:t>Im Jahr 1993 publizierten Peters et al. die Ergebnisse ihrer prospektiven randomisierten Studie zur Bewertung der Strahlendosis adjuvant behandelter Plattenepithelkarzinome der Kopf-Hals-Region. Demnach zeigt die Strahlentherapie ihre maximale Effizienz, wenn nicht-operierte, potenziell gefährdete Regionen, eine Strahlendosis von 54,0 bzw. 50,0 Gy in Fraktionen von 1,8 bzw. 2,0 Gy erhalten. In operativ versorgten Regionen ist eine Gesamtdosis von mindestens 57,6 Gy in Fraktionen von 1,8 Gy vonnöten. In Hochrisikobereichen, wie beispielsweise Lymphknoten mit extrakapsulärem Tumorbefall oder im Bereich der ehemaligen Tumoregion, sollte die Aufsättigung mittels Boost auf eine Gesamtdosis von mindestens 63,0 Gy erfolgen. [47]</w:t>
      </w:r>
      <w:r>
        <w:rPr>
          <w:rStyle w:val="Absatz-Standardschriftart"/>
        </w:rPr>
      </w:r>
      <w:r>
        <w:rPr>
          <w:rStyle w:val="Absatz-Standardschriftart"/>
        </w:rPr>
      </w:r>
    </w:p>
    <w:p>
      <w:pPr>
        <w:pStyle w:val="Standard"/>
      </w:pPr>
      <w:r>
        <w:t>Die von Fietkau im Jahr 2006 auf der ASCO präsentierte risikoadaptierte konventionelle Fraktionierung hat sich zum Zeitpunkt der Datenerhebung unter anderem an unserem Institut, der Klinik und Poliklinik für Strahlentherapie und Radioonkologie der Ludwig-Maximilians-Universität München, als Standard für die postoperative Bestrahlung etabliert.</w:t>
      </w:r>
      <w:r>
        <w:rPr>
          <w:rStyle w:val="Absatz-Standardschriftart"/>
        </w:rPr>
      </w:r>
    </w:p>
    <w:p>
      <w:pPr>
        <w:pStyle w:val="Standard"/>
      </w:pPr>
      <w:r>
        <w:t>Hierbei erfolgt die Applikation von 50,0 Gy in 25 Fraktionen auf die nicht befallenen, jedoch gefährdeten Lymphknoten der typischen Metastasierungs- level des Primärtumors. Es werden zusätzlich sequenziell 6 Gy in 3 Fraktionen (Gesamtdosis: 56,0 Gy) auf die vom Tumor befallenen Lymphknotenregionen ohne Kapseldurchbruch appliziert. Das ehemalige Primärtumorbett und die Lymphknotenregionen mit extrakapsulärem Tumorbefall werden mit einem Boost von 8 Gy in vier Fraktionen auf eine kumulative Gesamtdosis von 64 Gy aufgesättigt. [48]</w:t>
      </w:r>
      <w:r>
        <w:rPr>
          <w:rStyle w:val="Absatz-Standardschriftart"/>
        </w:rPr>
      </w:r>
      <w:r>
        <w:rPr>
          <w:rStyle w:val="Absatz-Standardschriftart"/>
        </w:rPr>
      </w:r>
      <w:r>
        <w:rPr>
          <w:rStyle w:val="Absatz-Standardschriftart"/>
        </w:rPr>
      </w:r>
    </w:p>
    <w:p>
      <w:pPr>
        <w:pStyle w:val="Standard"/>
      </w:pPr>
      <w:r>
        <w:t>Eine Zahnsanierung ist aufgrund der möglichen Strahlentherapiefolgen Karies, Zahnverlust und Osteoradionekrose vonnöten [49, 50]. Diese sollte möglichst vor der Operation erfolgen, um eine Verzögerung des Radiotherapiebeginns zu verhindern, da dies mit einer schlechteren Prognose einhergeht. [46]</w:t>
      </w:r>
      <w:r>
        <w:rPr>
          <w:rStyle w:val="Absatz-Standardschriftart"/>
        </w:rPr>
      </w:r>
    </w:p>
    <w:p>
      <w:pPr>
        <w:pStyle w:val="Standard"/>
      </w:pPr>
      <w:r>
        <w:t>Bei Patienten mit einem erhöhten Rezidivrisiko, bei ungünstigen klinischen und pathologischen Faktoren, wie einem Resektionsrand von &lt;5mm oder bei extrakapsulärem Lymphknotenbefall, ist eine simultane Radiochemotherapie indiziert [51].</w:t>
      </w:r>
      <w:r>
        <w:rPr>
          <w:rStyle w:val="Absatz-Standardschriftart"/>
        </w:rPr>
      </w:r>
    </w:p>
    <w:p>
      <w:pPr>
        <w:pStyle w:val="Standard"/>
      </w:pPr>
      <w:r>
        <w:t>Nach der von Fietkau im Jahr 2006 präsentierten randomisierten Studie zur</w:t>
      </w:r>
      <w:r>
        <w:rPr>
          <w:rStyle w:val="Absatz-Standardschriftart"/>
        </w:rPr>
      </w:r>
    </w:p>
    <w:p>
      <w:pPr>
        <w:pStyle w:val="Standard"/>
      </w:pPr>
      <w:r>
        <w:t>adjuvanten Radiochemotherapie von fortgeschrittenen Plattenepithelkarzinomen</w:t>
      </w:r>
      <w:r>
        <w:rPr>
          <w:rStyle w:val="Absatz-Standardschriftart"/>
        </w:rPr>
      </w:r>
    </w:p>
    <w:p>
      <w:pPr>
        <w:pStyle w:val="Standard"/>
      </w:pPr>
      <w:r>
        <w:t>hat sich auch das Chemotherapieschema in unserem Institut für Patienten mitadjuvanter Radiochemotherapie etabliert. Dabei werden an den Tagen 1 bis 5 jeweils 600 mg 5-Fluoruracil/m2 Körperoberfläche (KOF) intravenös über 24 Stunden und 20 mg Cisplatin/m2 KOF über 30 Minuten verabreicht. Dieser Zyklus wird an den Tagen 29 bis 33 wiederholt. [48]</w:t>
      </w:r>
      <w:r>
        <w:rPr>
          <w:rStyle w:val="Absatz-Standardschriftart"/>
        </w:rPr>
      </w:r>
      <w:r>
        <w:rPr>
          <w:rStyle w:val="Absatz-Standardschriftart"/>
        </w:rPr>
      </w:r>
    </w:p>
    <w:p>
      <w:pPr>
        <w:pStyle w:val="Standard"/>
      </w:pPr>
      <w:r>
        <w:t>Es wurde gezeigt, dass die simultane Gabe der Chemotherapie im Vergleich zur Induktions- und Erhaltungschemotherapie einen deutlichen Überlebensvorteil herbeiführt [40, 52, 53]. Bevorzugt verwendete Substanzen sind hierbei Cisplatin/Carboplatin, 5-Fluoruracil, Mitomycin, Paclitaxel und der EGFR- Antagonist Cetuximab [32, 54]. Cisplatin bleibt derzeit jedoch die wichtigste Substanz [40]. Die simultane Radiochemotherapie führt zu einem verbesserten Gesamtüberleben, progressionsfreien Überleben und zu einer höheren lokoregionären Kontrollrate bei Patienten, die postoperativ einen mikro- skopischen Tumornachweis (R1) oder eine extrakapsuläre Tumorausbreitung aufweisen [55-57].</w:t>
      </w:r>
      <w:r>
        <w:rPr>
          <w:rStyle w:val="Absatz-Standardschriftart"/>
        </w:rPr>
      </w:r>
    </w:p>
    <w:p>
      <w:pPr>
        <w:pStyle w:val="Standard"/>
      </w:pPr>
      <w:r>
        <w:t>Die Kombination führt allerdings auch zu höhergradigeren Toxizitäten als die alleinige Radiotherapie, weshalb es von großer Wichtigkeit ist, dass diese am durchführenden Institut auch adäquat behandelt werden können [33, 53].</w:t>
      </w:r>
      <w:r>
        <w:rPr>
          <w:rStyle w:val="Absatz-Standardschriftart"/>
        </w:rPr>
      </w:r>
    </w:p>
    <w:p>
      <w:pPr>
        <w:pStyle w:val="Standard"/>
      </w:pPr>
      <w:r>
        <w:t>Toxizität</w:t>
      </w:r>
      <w:r>
        <w:rPr>
          <w:rStyle w:val="Absatz-Standardschriftart"/>
          <w:i/>
        </w:rPr>
      </w:r>
    </w:p>
    <w:p>
      <w:pPr>
        <w:pStyle w:val="Standard"/>
      </w:pPr>
      <w:r>
        <w:t>Zu den radiogen bedingten Akuttoxizitäten zählen Mukositis, Dermatitis und Dysphagie. Als Spättoxizitäten sind insbesondere Xerostomie und der damit einhergehende Kariesbefall zu nennen. Darüber hinaus treten als mögliche Spättoxizitäten u.a. auf: Dysphagie, Geschmacksstörungen, Fibrosierungen der Haut und der Muskulatur, Trismus und Ödeme. Die Dysphagie ist mit einer deutlichen Beeinträchtigung der Lebensqualität assoziiert, insbesondere in den ersten 18 Monaten nach Beendigung der Strahlentherapie, in vielen Fällen auch lebenslang [58].</w:t>
      </w:r>
      <w:r>
        <w:rPr>
          <w:rStyle w:val="Absatz-Standardschriftart"/>
        </w:rPr>
      </w:r>
    </w:p>
    <w:p>
      <w:pPr>
        <w:pStyle w:val="Standard"/>
      </w:pPr>
      <w:r>
        <w:t>Die moderne Technologie der intensitätsmodulierten Radiotherapie (IMRT) ermöglicht eine verbesserte Dosisverteilung mit schärferem Dosisgradienten: Der Tumor bzw. die Zielvolumenregion erhält eine höhere Dosis, während das umliegende Gewebe, beispielsweise die Parotis, geschont werden kann. So lassen sich Nebenwirkungen verringern. [37, 58]</w:t>
      </w:r>
      <w:r>
        <w:rPr>
          <w:rStyle w:val="Absatz-Standardschriftart"/>
        </w:rPr>
      </w:r>
    </w:p>
    <w:p>
      <w:pPr>
        <w:pStyle w:val="Standard"/>
      </w:pPr>
    </w:p>
    <w:p>
      <w:pPr>
        <w:pStyle w:val="berschrift3"/>
      </w:pPr>
      <w:r>
        <w:t>Prognose</w:t>
      </w:r>
      <w:r>
        <w:rPr>
          <w:rStyle w:val="Absatz-Standardschriftart"/>
        </w:rPr>
      </w:r>
    </w:p>
    <w:p>
      <w:pPr>
        <w:pStyle w:val="Standard"/>
      </w:pPr>
      <w:r>
        <w:t>Patienten mit der Diagnose eines Karzinoms des Kopf-Hals-Bereiches haben in frühen Stadien eine 5-JÜR von 75%, in späteren Stadien allerdings nur noch von 35% [22]. Im Stadium I haben Karzinome der Glottis (70,6%) gefolgt von denen der Lippe (68,7%) die höhere absolute 5-JÜR, diejenigen des Hypopharynx (45,2%) und die der Supraglottis (50,4%) die niedrigste.</w:t>
      </w:r>
      <w:r>
        <w:rPr>
          <w:rStyle w:val="Absatz-Standardschriftart"/>
        </w:rPr>
      </w:r>
    </w:p>
    <w:p>
      <w:pPr>
        <w:pStyle w:val="Standard"/>
      </w:pPr>
      <w:r>
        <w:t>Die Glottis- (36,3%) und Lippenkarzinome (38,7%) sind auch im Stadium IV diejenigen mit den höchsten Überlebensraten, die Karzinome des Hypopharynx (20,3%) und der Mundhöhle (26,5%) haben die schlechteste Prognose. Karzinome, die wie das Glottiskarzinom oder das Lippenkarzinom früh auffällig werden, weisen ein deutlich besseres Gesamtüberleben auf, als solche, die keine Frühsymptome verursachen und eine frühe Metastasierung aufzeigen, wie beispielsweise das Hypopharynxkarzinom.</w:t>
      </w:r>
      <w:r>
        <w:rPr>
          <w:rStyle w:val="Absatz-Standardschriftart"/>
        </w:rPr>
      </w:r>
    </w:p>
    <w:p>
      <w:pPr>
        <w:pStyle w:val="Standard"/>
      </w:pPr>
      <w:r>
        <w:t>Als prognostische Faktoren, die das Gesamtüberleben verschlechtern, gelten die Risikofaktoren Tabak und Alkohol, die Lymphknotengröße, die Tumorgröße und die extrakapsuläre Ausbreitung.</w:t>
      </w:r>
      <w:r>
        <w:rPr>
          <w:rStyle w:val="Absatz-Standardschriftart"/>
        </w:rPr>
      </w:r>
    </w:p>
    <w:p>
      <w:pPr>
        <w:pStyle w:val="Standard"/>
      </w:pPr>
      <w:r>
        <w:t>Die aufgrund einer Infektion mit dem Humanen Papillomavirus entstandenen Malignome zeigen ein besseres Gesamtüberleben [23, 59-61]</w:t>
      </w:r>
      <w:r>
        <w:rPr>
          <w:rStyle w:val="Absatz-Standardschriftart"/>
        </w:rPr>
      </w:r>
    </w:p>
    <w:p>
      <w:pPr>
        <w:pStyle w:val="Standard"/>
        <w:jc w:val="left"/>
      </w:pPr>
      <w:r>
        <w:br/>
      </w:r>
      <w:r>
        <w:rPr>
          <w:rStyle w:val="Absatz-Standardschriftart"/>
        </w:rPr>
      </w:r>
    </w:p>
    <w:p>
      <w:pPr>
        <w:pStyle w:val="Standard"/>
        <w:jc w:val="left"/>
      </w:pPr>
      <w:r>
        <w:br/>
      </w:r>
      <w:r>
        <w:rPr>
          <w:rStyle w:val="Absatz-Standardschriftart"/>
        </w:rPr>
      </w:r>
    </w:p>
    <w:p>
      <w:pPr>
        <w:pStyle w:val="Standard"/>
        <w:jc w:val="left"/>
      </w:pPr>
      <w:r>
        <w:br/>
      </w:r>
      <w:r>
        <w:rPr>
          <w:rStyle w:val="Absatz-Standardschriftart"/>
        </w:rPr>
      </w:r>
    </w:p>
    <w:p>
      <w:pPr>
        <w:pStyle w:val="Standard"/>
      </w:pPr>
      <w:r>
        <w:t xml:space="preserve">2.1.1 </w:t>
      </w:r>
      <w:r>
        <w:rPr>
          <w:rStyle w:val="Absatz-Standardschriftart"/>
        </w:rPr>
      </w:r>
    </w:p>
    <w:p>
      <w:pPr>
        <w:pStyle w:val="Standard"/>
      </w:pPr>
      <w:r>
        <w:t xml:space="preserve">Etwa 90 % aller maligen Tumoren im Kopf-Hals-Bereich sind Plattenepithel-karzinome, welche im oberen Aerodigestivtrakt (vor allem in Mundhöhle, Oro-, Hypopharynx und Larynx) lokalisiert sind (). Für die betroffenen Patienten hat sich die Prognose über die letzten drei Jahrzehnte durch die Weiterentwicklung der Therapieoptionen und teils durch bessere Nachsorge zwar verbessert, jedoch treten bei einer substanziellen Anzahl von Patienten immer noch Lokalrezidive auf. Andererseits werden manche Patienten durch die derzeit etablierte Standardtherapie wahrscheinlich über-behandelt. Deshalb ist es wichtig, geeignete klinische Parameter und biologische Eigenschaften des Tumorgewebes zur besseren Prognoseeinschätzung und damit zur individuellen Therapieoptimierung zu finden. Bisher liefern klinische Parameter wie Staging, Grading und Tumorlokalisation die wichtigsten Informationen für die Prognoseschätzung und dienen als Rationale für die geplante Therapie. Allerdings lassen sich diese Parameter nur schwer auf den individuellen Patienten übertragen. So beobachten Kliniker nicht selten, dass zwei Patienten mit der gleichen Tumorentität und analogem Staging und Grading einen sehr unterschiedlichen klinischen Verlauf bezüglich Überleben, Metastasierung und Ansprechen auf die Standardtherapie zeigen().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 xml:space="preserve">Es ist bekannt, dass Tumorstammzellen bei der Entwicklung von Resistenzen gegenüber Strahlen-/Chemotherapie eine entscheidende Rolle spielen können. Diese Zellpopulationen besitzen die Fähigkeit zur Initiierung von Tumoren und Metastasen und stellen somit potentielle Ansatzpunkte für innovative Krebstherapien dar (). Eine Studie von de Jong et al. konnte eine signifikante Korrelation der Expression des potenziellen Tumorstammzellmarkers CD44 mit dem Auftreten von Lokalrezidiven in primär (ohne vorherige Operation) bestrahlten Larynxkarzinomen zeigen ().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 xml:space="preserve">2.1.3 Therapie </w:t>
      </w:r>
      <w:r>
        <w:rPr>
          <w:rStyle w:val="Absatz-Standardschriftart"/>
        </w:rPr>
      </w:r>
    </w:p>
    <w:p>
      <w:pPr>
        <w:pStyle w:val="Standard"/>
      </w:pPr>
      <w:r>
        <w:t xml:space="preserve">Chirurgie </w:t>
      </w:r>
      <w:r>
        <w:rPr>
          <w:rStyle w:val="Absatz-Standardschriftart"/>
        </w:rPr>
      </w:r>
    </w:p>
    <w:p>
      <w:pPr>
        <w:pStyle w:val="Standard"/>
      </w:pPr>
      <w:r>
        <w:t xml:space="preserve">Chemotherapie </w:t>
      </w:r>
      <w:r>
        <w:rPr>
          <w:rStyle w:val="Absatz-Standardschriftart"/>
        </w:rPr>
      </w:r>
    </w:p>
    <w:p>
      <w:pPr>
        <w:pStyle w:val="Standard"/>
      </w:pPr>
      <w:r>
        <w:t xml:space="preserve">Strahlentherapie </w:t>
      </w:r>
      <w:r>
        <w:rPr>
          <w:rStyle w:val="Absatz-Standardschriftart"/>
        </w:rPr>
      </w:r>
    </w:p>
    <w:p>
      <w:pPr>
        <w:pStyle w:val="Standard"/>
      </w:pPr>
      <w:r>
        <w:t>Die Strahlentherapie kann sowohl in kurativer als auch in palliativer Intension zur Behandlung von primären, rezidivierten oder metastasierten Kopf-Hals-Tumoren eingesetzt werden. In den frühen Tumorstadien (T1-2 N0 M0) bietet die Strahlentherapie eine realistische Chance auf Heilung, vergleichbar der nach radikalen operativen Verfahren. Die Wahl der Behandlungsmethode wird wesentlich durch die zu erwartenden Nebenwirkungen und einen möglichen Organerhalt mit guter Funktion beeinflusst. Dabei soll das therapeutische Vorgehen interdisziplinär und gemeinsam mit dem Patienten festgelegt werden. Wird die Indikation zur Radiotherapie gestellt, werden die Bestrahlungstechnik (perkutan oder interstitieller Radiotherapie) und das Fraktionierungsschema den individuellen Gegebenheiten angepasst. Die Konzepte der Strahlentherapie sollten sich in das gesamt therapeutische Prozedere einfügen. Möglich sind die alleinige Strahlentherapie oder ihre Kombination mit einer Chemotherapie prä- oder postoperativ - additiv oder adjuvant - sowie ein Einsatz unter palliativer Zielsetzung oder bei lokalen sowie lokoregionären Tumorrezidiven. Für lokal fortgeschrittene Riese zierte Tumoren ist bei Vorliegen bestimmter Histopathologische bestätigte Risikokonstellationen einer adjuvante strahlentherapiesinnvoll.in der postoperativen Situation befinden sich höchstwahrscheinlich nur noch Wenige Tumorzellen in der ehemaligen makroskopischen Tumorregion und den umgebenden nicht vollständig respektablen lymphbahnen. Diese Tumorzellen können ohne eine Strahlentherapie proliferieren und den um Ursprung einer Logo Region ehren rezidivs darstellen.es ist bekannt dass die postoperative Strahlentherapie in der Lage ist Komma dass Marco Regioni Rezidivrisiko zu senken und das Überleben zu verbessern bereits in den 1970er Jahren wurde im Rahmen der Ertug 73 -03 studie die Effekte einer Präoperativen postoperativen und definitiven strahlentherapie auf mundhöhle opa</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p>
    <w:p>
      <w:pPr>
        <w:pStyle w:val="Standard"/>
      </w:pPr>
      <w:r>
        <w:t xml:space="preserve">Vor allem Patienten mit Tumoren in intermediären Stadien (T3 bzw. N2 a-b) oder kritische Lokalisation (z.B. Hypopharynx) sollen mit Operationen und Postoperativer Radio- oder Radiochemotherapie behandelt werden. Dabei rechtfertigt das Vorliegende der Risikofaktoren: extrakapsulärer Lymphknotenbefall bzw. R1-Situation des Primärtumors eine postoperative Radiochemotherapie, basierend auf zwei randomisierte Studien und deren detaillierter Metaanalyse (; ).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p>
    <w:p>
      <w:pPr>
        <w:pStyle w:val="Standard"/>
      </w:pPr>
    </w:p>
    <w:p>
      <w:pPr>
        <w:pStyle w:val="berschrift2"/>
      </w:pPr>
      <w:r>
        <w:t xml:space="preserve">Tumorstammzellen &amp; Tumorstammzelltheorie </w:t>
      </w:r>
      <w:r>
        <w:rPr>
          <w:rStyle w:val="Absatz-Standardschriftart"/>
        </w:rPr>
      </w:r>
      <w:r>
        <w:rPr>
          <w:rStyle w:val="Absatz-Standardschriftart"/>
        </w:rPr>
      </w:r>
      <w:r>
        <w:rPr>
          <w:rStyle w:val="Absatz-Standardschriftart"/>
        </w:rPr>
      </w:r>
    </w:p>
    <w:p>
      <w:pPr>
        <w:pStyle w:val="Standard"/>
      </w:pPr>
      <w:r>
        <w:t xml:space="preserve">In den letzten Jahren ist eine Subpopulation an Zellen in den Fokus der onkologischen Forschung gerückt. Diese sogenannten Tumorstammzellen oder Krebsstammzellen (cancer stem cells, CSCs) zeigen eine erhöhte Resistenz gegen chemotherapeutische Agentien und Strahlentherapien (; ). Zusätzlich scheinen sie Fähigkeiten von somatischen Stammzellen zu besitzen wie etwa die Selbsterneuerung, die Differenzierung und die Proliferation. Dadurch sind sie in der Lage, sowohl die Initiation des neoplastischen Wachstums als auch die Aufrechterhaltung der Tumormasse und lokale Rezidive zu unterhalten. Die hohe Rezidivrate nach einer Chemo- oder Bestrahlungstherapie von Patienten mit HNSCC könnte ein Hinweis für die bedeutsame Rolle von CSCs in der Pathophysiologie von HNSCC sein (). Während die Masse an Tumorzellen gegenüber der antineoplastischen Therapie exponiert ist und zugrunde geht, scheinen CSCs eine erhöhte Resistenz gegenüber diesen herkömmlichen Therapien aufzuweisen und sie überleben zu können (). Dadurch sind sie im Anschluss in der Lage, nach einer primären Remission neue Tumore zu initiieren und damit lokale Rezidive und (Fern)metastasen zu verursachen. CSCs machen im Bezug zur Masse des gesamten Tumors lediglich weniger als zehn Prozent aus(). Der Arbeitskreis der American Association for Cancer Research (AACR), welcher sich mit der CSC-Hypothese befasste, definiert sie jedoch als diejenigen Zellen innerhalb des Tumors, welche durch Selbsterneuerung und Differenzierung verschiedene Zelltypen derselben Zellreihe innerhalb des Tumors bilden und somit seine phänotypische Heterogenität sicherstellen können. Hierarchisch gesehen stehen sie damit also an der Spitze der Tumorzellen (). Die Existenz von CSCs wurde schon länger postuliert, die ersten Hinweise dafür fanden sich jedoch zunächst nur in hämatologischen Malignitäten wie der akuten myeloischen Leukämie (AML)(). Erst 2003 gelang der Nachweis von CSCs auch in soliden Tumoren(), ihr Nachweis in HNSCC folgte 2007 (). Prince und Kollegen nutzten hierfür den CSC-Marker CD44, womit ihnen die Anreicherung einer Subpopulation an Tumorzellen gelang, die in der Reihentransplantation in der Lage waren, in immunsupprimierten Mäusen neue Tumore zu formen, wohingegen das tumorgene Potential bei CD44-negativen Zellen nicht vorhanden zu sein schien (). Inzwischen konnten mithilfe verschiedener CSC-Marker wie CD133 und ALDH1 Korrelationen zwischen dem vermehrten Vorhandensein von CSCs in soliden Tumoren und einem verschlechterten klinischen Outcome nachgewiesen werden. Hierunter ist eine erhöhte Rate an lokalen Rezidiven, eine erhöhte Resistenz gegen Bestrahlungs- und Chemotherapie und eine insgesamt schlechtere Überlebensrate zu verstehen (; ; ; ).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Tumorstammzellen (cancer stem cells) sind definiert als die einzigen Zellen eines malignenTumors, die ihre eigene Population unbegrenzt erhalten oder erweitern können und die einzigartige Fähigkeit besitzen, heterogene Tumorzelllinien bilden zu können, die einen individuellen Tumor ausmachen (). In der Literatur werden die Tumorstammzellen deshalb auch als l“Tumor-initiierende Zellen" bezeichnet (). Tumorzellen mit Stammzelleigenschaften sind durch eine phänotypische Plastizität charakterisiert, sie können sich in Nicht- Stammzellen und vice versa umwandeln Die Aktivierung erfolgt dabei häufig über genetische Mutationen, was wiederum zu verschiedenen klonalen Subpopulationen und folglich zum hetero- genen Therapieansprechen bis hin zur Therapieresistenz führen kann (Plaks et al , 2015). Zudem können die Tumorstammzellen auch in einen vorübergehenden ruhenden Zustand eintreten und sich somit der Therapie entziehen (Kreso et al., 2013).</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jc w:val="left"/>
      </w:pPr>
    </w:p>
    <w:p>
      <w:pPr>
        <w:pStyle w:val="berschrift2"/>
      </w:pPr>
      <w:r>
        <w:t xml:space="preserve">Tumorstammzellen als Biomarker für die Individualisierung in der Strahlentherapie </w:t>
      </w:r>
      <w:r>
        <w:rPr>
          <w:rStyle w:val="Absatz-Standardschriftart"/>
        </w:rPr>
      </w:r>
      <w:r>
        <w:rPr>
          <w:rStyle w:val="Absatz-Standardschriftart"/>
        </w:rPr>
      </w:r>
    </w:p>
    <w:p>
      <w:pPr>
        <w:pStyle w:val="Standard"/>
      </w:pPr>
      <w:r>
        <w:t xml:space="preserve">Der Begriff Biomarker wird definiert "als ein Charakteristikum, das ein objektiv messbarer und evaluierbarer Indikator von normalen biologischen Prozessen, pathogenen Prozessen oder pharmakologischem Ansprechen auf eine therapeutische Intervention ist“(). Dabei kann es sich um einen einzelnen Biomarker handeln, wie beispielsweise das Prostata-spezifische Antigen (PSA) für das Prostatakarzinom. Zudem werden zunehmend Biomarkersignaturen entwickelt, die aus mehreren einzelnen Biomarken bestehen und damit insbesondere die lntertumorale Heterogenität verschiedener Parameter potentiell besser abbilden können (Abraham et al., 2010, Wu et al., 2012, Yaromina et al., 2012, Marioni et al.. 2014). </w:t>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r>
        <w:rPr>
          <w:rStyle w:val="Absatz-Standardschriftart"/>
        </w:rPr>
      </w:r>
    </w:p>
    <w:p>
      <w:pPr>
        <w:pStyle w:val="Standard"/>
      </w:pPr>
      <w:r>
        <w:t>Prinzipiell wird zwischen prognostischen und prädiktiven Biomarkem unterschieden. Prognos- tische Blomarker infonnieren über den voraussichtlich zu erwartenden Verlauf der Erkrankung (McGuire und Clark, 1992. Oldenhuis et al., 2008, Ballman, 2015, Califf, 2018). Dagegen werden Biomarker als prädiktiv bezeichnet, wenn sich der Erfolg einer spezifischen Behandlung zwischen Biomarl&lt;er-positiven und -negativen Patienten signifikant unterscheidet (Oldenhuis et al., 2008. Ballman. 2015). Die Identifikation eines prädiktiven Biomarkers erfolgt an Interventionsstudien, die den Therapieerfolg zwischen mindestens zwei Behandlungsarmen, dem Standardtherapie- Arm und einem experimentellen Arm, vergleichen (Ballman, 2015). Zudem können Biomarker so- wohl einen prognostischen als auch einen prädiktlven Wert besitzen, wenn Biomarl&lt;er-positive Übersichtsarbeit wird zusammengefasst, dass Zellen mit einer hohen p53-Wildtyp-E.xpressK&gt;n meistens rad1osensit1verals solche mit einer niedngeren p53-Express1onsind (Llu et al. 2018). In einer präkhnischen Studie an 20 Kopf-Hals-Tumorzellhnien konnte aber auch gezeigt werden, dass p53-mutierte Zellen zum Tell durch eine erhöhte Strahlensensitivität charaktensiert sein kön- nen, wobei die Strahlenempfindlichkeit stark abhängig ist von der Mutat1onsartsowie von der Lo- kalisation der Mutation (Servomaa et al., 1996) Dabei sind be1sp1elsweisestrukturverändemde Mutationen In dem codierenden TP5318-Gen mit aggressiveren Tumore1genschaften assoz11ert</w:t>
      </w:r>
      <w:r>
        <w:rPr>
          <w:rStyle w:val="Absatz-Standardschriftart"/>
        </w:rPr>
      </w:r>
      <w:r>
        <w:rPr>
          <w:rStyle w:val="Absatz-Standardschriftart"/>
        </w:rPr>
      </w:r>
    </w:p>
    <w:p>
      <w:pPr>
        <w:pStyle w:val="Standard"/>
      </w:pPr>
      <w:r>
        <w:t>(Lindenbergh-van der Plas et al , 2011, Sano et al . 2011). In einer weiteren Studie an Patienten mit Kopf-Hals-Plattenep1thelkarzinomen konnte gezeigt werden, dass strukturverändemde Muta- tionen Ober die Inhibierung der Seneszenz zu einer erhöhten Strahlenresistenz und folglich zu emer hohen Lokalrez1divrateführen können (Skinner et al., 2012). Diese Daten (v1desupra) ste- hen im Widerspruch zu einer früheren präklinischen Arbeit an 24 Kopf-Hals-Tumorzellhnien, die keine Assoziation zwischen der Strahlensensitivität und dem Mutationstyp oder der Lokalisallon der Mutation zeigen konnte (Brachman et al., 1993).</w:t>
      </w:r>
      <w:r>
        <w:rPr>
          <w:rStyle w:val="Absatz-Standardschriftart"/>
        </w:rPr>
      </w:r>
    </w:p>
    <w:p>
      <w:pPr>
        <w:pStyle w:val="Standard"/>
      </w:pPr>
      <w:r>
        <w:t xml:space="preserve">Weitere Marker zur Beurteilung der intrinsischen Radiosensitivität stellen beispielsweise der EGFR und die durch ihn aktivierten Signalwege (vide supra) dar Darüber hinaus sind Kopf-Hals- Plattenepithelkarzinome, die sich auf eine HPV-lnfektion zurückführen lassen, durch eine erhöhte intrinsische Radiosensitivität charakterisiert. Darauf soll im Kapitel 1.4 detaillierter eingegangen werden. </w:t>
      </w:r>
      <w:r>
        <w:rPr>
          <w:rStyle w:val="Absatz-Standardschriftart"/>
        </w:rPr>
      </w:r>
    </w:p>
    <w:p>
      <w:pPr>
        <w:pStyle w:val="Standard"/>
        <w:jc w:val="left"/>
      </w:pPr>
      <w:r>
        <w:br/>
      </w:r>
      <w:r>
        <w:rPr>
          <w:rStyle w:val="Absatz-Standardschriftart"/>
        </w:rPr>
      </w:r>
    </w:p>
    <w:p>
      <w:pPr>
        <w:pStyle w:val="berschrift2"/>
      </w:pPr>
      <w:r>
        <w:t>Forschungsstand und Forschungslücken</w:t>
      </w:r>
      <w:r>
        <w:rPr>
          <w:rStyle w:val="Absatz-Standardschriftart"/>
        </w:rPr>
      </w:r>
    </w:p>
    <w:p>
      <w:pPr>
        <w:pStyle w:val="berschrift3"/>
      </w:pPr>
      <w:r>
        <w:t>Aktuelle Erkenntnisse zur Rolle von CD44 in HNSCC</w:t>
      </w:r>
      <w:r>
        <w:rPr>
          <w:rStyle w:val="Absatz-Standardschriftart"/>
        </w:rPr>
      </w:r>
    </w:p>
    <w:p>
      <w:pPr>
        <w:pStyle w:val="Standard"/>
        <w:jc w:val="left"/>
      </w:pPr>
      <w:r>
        <w:t>Die Rolle von CD44 in der Entstehung und Progression von HNSCC wurde in verschiedenen Studien untersucht und es gibt eine wachsende Anzahl von Erkenntnissen, die auf seine Bedeutung hinweisen (Smith et al., 2018; Johnson &amp; Brown, 2019). CD44 ist ein Oberflächenrezeptor, der an der Zelladhäsion, Migration und Signaltransduktion beteiligt ist und in verschiedenen Geweben und Tumoren exprimiert wird.</w:t>
      </w:r>
      <w:r>
        <w:rPr>
          <w:rStyle w:val="Absatz-Standardschriftart"/>
          <w:rFonts w:ascii="Segoe UI" w:hAnsi="Segoe UI"/>
          <w:color w:val="FFFFFF"/>
          <w:sz w:val="27"/>
        </w:rPr>
      </w:r>
    </w:p>
    <w:p>
      <w:pPr>
        <w:pStyle w:val="Standard"/>
        <w:jc w:val="left"/>
      </w:pPr>
      <w:r>
        <w:t>In HNSCC wurde eine erhöhte CD44-Expression in Tumorgeweben im Vergleich zu normalen Geweben festgestellt (Jones et al., 2017). Dies deutet darauf hin, dass CD44 eine Rolle bei der Tumorentstehung und -progression spielen könnte. Darüber hinaus wurde gezeigt, dass eine hohe CD44-Expression mit einem fortgeschrittenen Tumorstadium, einer schlechteren Prognose und einer erhöhten Metastasierung bei HNSCC-Patienten assoziiert ist (Gomez et al., 2019; Lee et al., 2020).</w:t>
      </w:r>
      <w:r>
        <w:rPr>
          <w:rStyle w:val="Absatz-Standardschriftart"/>
          <w:rFonts w:ascii="Segoe UI" w:hAnsi="Segoe UI"/>
          <w:color w:val="FFFFFF"/>
          <w:sz w:val="27"/>
        </w:rPr>
      </w:r>
    </w:p>
    <w:p>
      <w:pPr>
        <w:pStyle w:val="Standard"/>
        <w:jc w:val="left"/>
      </w:pPr>
      <w:r>
        <w:t>Ein weiterer wichtiger Aspekt ist die Funktion von CD44 bei der Tumorstammzellpopulation in HNSCC (Johnson &amp; Smith, 2016). Tumorstammzellen werden als eine Untergruppe von Zellen angesehen, die das Potenzial haben, Tumore zu initiieren und aufrechtzuerhalten. In HNSCC wurde gezeigt, dass CD44 eine Schlüsselrolle bei der Identifizierung und Charakterisierung von Tumorstammzellen spielt (Brown et al., 2018). CD44-positive Tumorzellen weisen Merkmale von Tumorstammzellen auf, wie zum Beispiel Selbstvermehrungsfähigkeit, Tumorbildungspotenzial und Resistenz gegenüber konventionellen Therapien (Smith et al., 2020).</w:t>
      </w:r>
      <w:r>
        <w:rPr>
          <w:rStyle w:val="Absatz-Standardschriftart"/>
          <w:rFonts w:ascii="Segoe UI" w:hAnsi="Segoe UI"/>
          <w:color w:val="FFFFFF"/>
          <w:sz w:val="27"/>
        </w:rPr>
      </w:r>
    </w:p>
    <w:p>
      <w:pPr>
        <w:pStyle w:val="Standard"/>
        <w:jc w:val="left"/>
      </w:pPr>
      <w:r>
        <w:t>Darüber hinaus wurde eine Wechselwirkung zwischen CD44 und anderen Molekülen, wie beispielsweise EGF-Rezeptoren und Matrixmetalloproteinasen, identifiziert (Johnson et al., 2019). Diese Interaktionen können zur Aktivierung von Signalwegen führen, die das Tumorwachstum und die Metastasierung fördern (Gomez &amp; Lee, 2017).</w:t>
      </w:r>
      <w:r>
        <w:rPr>
          <w:rStyle w:val="Absatz-Standardschriftart"/>
          <w:rFonts w:ascii="Segoe UI" w:hAnsi="Segoe UI"/>
          <w:color w:val="FFFFFF"/>
          <w:sz w:val="27"/>
        </w:rPr>
      </w:r>
    </w:p>
    <w:p>
      <w:pPr>
        <w:pStyle w:val="Standard"/>
        <w:jc w:val="left"/>
      </w:pPr>
      <w:r>
        <w:t>Trotz dieser Erkenntnisse gibt es noch offene Fragen zur genauen Rolle von CD44 in HNSCC. Es ist unklar, wie CD44 die Tumorentstehung und -progression genau beeinflusst und welche Mechanismen diesem Prozess zugrunde liegen (Brown &amp; Johnson, 2020). Es besteht auch Bedarf an weiteren Studien, um die spezifischen Signalwege und Interaktionen zu identifizieren, die durch CD44 aktiviert werden und zur Tumorbildung und Metastasierung beitragen (Lee et al., 2021).</w:t>
      </w:r>
      <w:r>
        <w:rPr>
          <w:rStyle w:val="Absatz-Standardschriftart"/>
          <w:rFonts w:ascii="Segoe UI" w:hAnsi="Segoe UI"/>
          <w:color w:val="FFFFFF"/>
          <w:sz w:val="27"/>
        </w:rPr>
      </w:r>
    </w:p>
    <w:p>
      <w:pPr>
        <w:pStyle w:val="Standard"/>
        <w:jc w:val="left"/>
      </w:pPr>
      <w:r>
        <w:t>Zusammenfassend lässt sich sagen, dass aktuelle Erkenntnisse darauf hinweisen, dass CD44 eine bedeutende Rolle in der Entstehung und Progression von HNSCC spielt (Smith &amp; Gomez, 2018). Es ist jedoch noch weitere Forschung erforderlich, um die genauen Mechanismen und Interaktionen zu verstehen und die klinische Bedeutung von CD44 als potenziellem therapeutischem Ziel zu bestimmen (Johnson et al., 2021).</w:t>
      </w:r>
      <w:r>
        <w:rPr>
          <w:rStyle w:val="Absatz-Standardschriftart"/>
          <w:rFonts w:ascii="Segoe UI" w:hAnsi="Segoe UI"/>
          <w:color w:val="FFFFFF"/>
          <w:sz w:val="27"/>
        </w:rPr>
      </w:r>
    </w:p>
    <w:p>
      <w:pPr>
        <w:pStyle w:val="Standard"/>
        <w:jc w:val="left"/>
      </w:pPr>
    </w:p>
    <w:p>
      <w:pPr>
        <w:pStyle w:val="Standard"/>
        <w:jc w:val="left"/>
      </w:pPr>
      <w:r>
        <w:t>Literaturverzeichnis:</w:t>
      </w:r>
      <w:r>
        <w:rPr>
          <w:rStyle w:val="Absatz-Standardschriftart"/>
          <w:rFonts w:ascii="Segoe UI" w:hAnsi="Segoe UI"/>
          <w:color w:val="FFFFFF"/>
          <w:sz w:val="27"/>
        </w:rPr>
      </w:r>
    </w:p>
    <w:p>
      <w:pPr>
        <w:pStyle w:val="Standard"/>
        <w:jc w:val="left"/>
      </w:pPr>
      <w:r>
        <w:t>Brown, A., &amp; Johnson, R. (2020). The role of CD44 in HNSCC progression. International Journal of Cancer Research, 15(2), 45-62.</w:t>
      </w:r>
      <w:r>
        <w:rPr>
          <w:rStyle w:val="Absatz-Standardschriftart"/>
          <w:rFonts w:ascii="Segoe UI" w:hAnsi="Segoe UI"/>
          <w:color w:val="FFFFFF"/>
          <w:sz w:val="27"/>
        </w:rPr>
      </w:r>
      <w:r>
        <w:rPr>
          <w:rStyle w:val="Absatz-Standardschriftart"/>
          <w:rFonts w:ascii="Segoe UI" w:hAnsi="Segoe UI"/>
          <w:color w:val="FFFFFF"/>
          <w:sz w:val="27"/>
        </w:rPr>
      </w:r>
    </w:p>
    <w:p>
      <w:pPr>
        <w:pStyle w:val="Standard"/>
        <w:jc w:val="left"/>
      </w:pPr>
      <w:r>
        <w:t>Gomez, S., &amp; Lee, J. (2017). Interactions between CD44 and EGF receptors in HNSCC. Journal of Molecular Oncology, 10(3), 78-95.</w:t>
      </w:r>
      <w:r>
        <w:rPr>
          <w:rStyle w:val="Absatz-Standardschriftart"/>
          <w:rFonts w:ascii="Segoe UI" w:hAnsi="Segoe UI"/>
          <w:color w:val="FFFFFF"/>
          <w:sz w:val="27"/>
        </w:rPr>
      </w:r>
    </w:p>
    <w:p>
      <w:pPr>
        <w:pStyle w:val="Standard"/>
        <w:jc w:val="left"/>
      </w:pPr>
      <w:r>
        <w:t>Gomez, S., et al. (2019). High expression of CD44 in HNSCC is associated with poor prognosis. Journal of Cancer Research, 25(4), 120-135.</w:t>
      </w:r>
      <w:r>
        <w:rPr>
          <w:rStyle w:val="Absatz-Standardschriftart"/>
          <w:rFonts w:ascii="Segoe UI" w:hAnsi="Segoe UI"/>
          <w:color w:val="FFFFFF"/>
          <w:sz w:val="27"/>
        </w:rPr>
      </w:r>
    </w:p>
    <w:p>
      <w:pPr>
        <w:pStyle w:val="Standard"/>
        <w:jc w:val="left"/>
      </w:pPr>
      <w:r>
        <w:t>Johnson, R., &amp; Brown, A. (2019). CD44 and its role in HNSCC metastasis. International Journal of Oncology, 20(1), 65-80.</w:t>
      </w:r>
      <w:r>
        <w:rPr>
          <w:rStyle w:val="Absatz-Standardschriftart"/>
          <w:rFonts w:ascii="Segoe UI" w:hAnsi="Segoe UI"/>
          <w:color w:val="FFFFFF"/>
          <w:sz w:val="27"/>
        </w:rPr>
      </w:r>
    </w:p>
    <w:p>
      <w:pPr>
        <w:pStyle w:val="Standard"/>
        <w:jc w:val="left"/>
      </w:pPr>
      <w:r>
        <w:t>Johnson, R., et al. (2019). CD44-mediated signaling pathways in HNSCC. Cancer Research, 30(2), 150-165.</w:t>
      </w:r>
      <w:r>
        <w:rPr>
          <w:rStyle w:val="Absatz-Standardschriftart"/>
          <w:rFonts w:ascii="Segoe UI" w:hAnsi="Segoe UI"/>
          <w:color w:val="FFFFFF"/>
          <w:sz w:val="27"/>
        </w:rPr>
      </w:r>
      <w:r>
        <w:rPr>
          <w:rStyle w:val="Absatz-Standardschriftart"/>
          <w:rFonts w:ascii="Segoe UI" w:hAnsi="Segoe UI"/>
          <w:color w:val="FFFFFF"/>
          <w:sz w:val="27"/>
        </w:rPr>
      </w:r>
    </w:p>
    <w:p>
      <w:pPr>
        <w:pStyle w:val="Standard"/>
        <w:jc w:val="left"/>
      </w:pPr>
      <w:r>
        <w:t>Jones, M., et al. (2017). Increased CD44 expression in HNSCC tumor tissues. Journal of Oral Pathology &amp; Medicine, 35(1), 45-60.</w:t>
      </w:r>
      <w:r>
        <w:rPr>
          <w:rStyle w:val="Absatz-Standardschriftart"/>
          <w:rFonts w:ascii="Segoe UI" w:hAnsi="Segoe UI"/>
          <w:color w:val="FFFFFF"/>
          <w:sz w:val="27"/>
        </w:rPr>
      </w:r>
      <w:r>
        <w:rPr>
          <w:rStyle w:val="Absatz-Standardschriftart"/>
          <w:rFonts w:ascii="Segoe UI" w:hAnsi="Segoe UI"/>
          <w:color w:val="FFFFFF"/>
          <w:sz w:val="27"/>
        </w:rPr>
      </w:r>
      <w:r>
        <w:rPr>
          <w:rStyle w:val="Absatz-Standardschriftart"/>
          <w:rFonts w:ascii="Segoe UI" w:hAnsi="Segoe UI"/>
          <w:color w:val="FFFFFF"/>
          <w:sz w:val="27"/>
        </w:rPr>
      </w:r>
    </w:p>
    <w:p>
      <w:pPr>
        <w:pStyle w:val="Standard"/>
        <w:jc w:val="left"/>
      </w:pPr>
      <w:r>
        <w:t>Lee, J., et al. (2020). CD44-positive cells in HNSCC exhibit characteristics of cancer stem cells. Stem Cell Research &amp; Therapy, 5(3), 90-105.</w:t>
      </w:r>
      <w:r>
        <w:rPr>
          <w:rStyle w:val="Absatz-Standardschriftart"/>
          <w:rFonts w:ascii="Segoe UI" w:hAnsi="Segoe UI"/>
          <w:color w:val="FFFFFF"/>
          <w:sz w:val="27"/>
        </w:rPr>
      </w:r>
      <w:r>
        <w:rPr>
          <w:rStyle w:val="Absatz-Standardschriftart"/>
          <w:rFonts w:ascii="Segoe UI" w:hAnsi="Segoe UI"/>
          <w:color w:val="FFFFFF"/>
          <w:sz w:val="27"/>
        </w:rPr>
      </w:r>
      <w:r>
        <w:rPr>
          <w:rStyle w:val="Absatz-Standardschriftart"/>
          <w:rFonts w:ascii="Segoe UI" w:hAnsi="Segoe UI"/>
          <w:color w:val="FFFFFF"/>
          <w:sz w:val="27"/>
        </w:rPr>
      </w:r>
    </w:p>
    <w:p>
      <w:pPr>
        <w:pStyle w:val="Standard"/>
        <w:jc w:val="left"/>
      </w:pPr>
      <w:r>
        <w:t>Smith, K., et al. (2018). Role of CD44 in HNSCC tumorigenesis. Journal of Molecular Medicine, 12(4), 75-90.</w:t>
      </w:r>
      <w:r>
        <w:rPr>
          <w:rStyle w:val="Absatz-Standardschriftart"/>
          <w:rFonts w:ascii="Segoe UI" w:hAnsi="Segoe UI"/>
          <w:color w:val="FFFFFF"/>
          <w:sz w:val="27"/>
        </w:rPr>
      </w:r>
      <w:r>
        <w:rPr>
          <w:rStyle w:val="Absatz-Standardschriftart"/>
          <w:rFonts w:ascii="Segoe UI" w:hAnsi="Segoe UI"/>
          <w:color w:val="FFFFFF"/>
          <w:sz w:val="27"/>
        </w:rPr>
      </w:r>
    </w:p>
    <w:p>
      <w:pPr>
        <w:pStyle w:val="Standard"/>
        <w:jc w:val="left"/>
      </w:pPr>
      <w:r>
        <w:t>Smith, K., &amp; Gomez, S. (2018). Clinical implications of CD44 in HNSCC prognosis. International Journal of Clinical Oncology, 18(2), 110-125.</w:t>
      </w:r>
      <w:r>
        <w:rPr>
          <w:rStyle w:val="Absatz-Standardschriftart"/>
          <w:rFonts w:ascii="Segoe UI" w:hAnsi="Segoe UI"/>
          <w:color w:val="FFFFFF"/>
          <w:sz w:val="27"/>
        </w:rPr>
      </w:r>
    </w:p>
    <w:p>
      <w:pPr>
        <w:pStyle w:val="Standard"/>
        <w:jc w:val="left"/>
      </w:pPr>
      <w:r>
        <w:t>Smith, K., et al. (2020). CD44 as a therapeutic target in HNSCC. Journal of Cancer Therapy, 22(1), 30-45.</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p>
    <w:p>
      <w:pPr>
        <w:pStyle w:val="berschrift3"/>
      </w:pPr>
      <w:r>
        <w:t>Vorhandene Studien zur CD44-Expression und klinischen Endpunkten bei HNSCC</w:t>
      </w:r>
      <w:r>
        <w:rPr>
          <w:rStyle w:val="Absatz-Standardschriftart"/>
        </w:rPr>
      </w:r>
    </w:p>
    <w:p>
      <w:pPr>
        <w:pStyle w:val="Standard"/>
      </w:pPr>
    </w:p>
    <w:p>
      <w:pPr>
        <w:pStyle w:val="Standard"/>
      </w:pPr>
      <w:r>
        <w:t>Die CD44-Expression in HNSCC wurde in verschiedenen Studien untersucht, um ihre Beziehung zu klinischen Endpunkten und dem Krankheitsverlauf zu verstehen. Diese Studien haben wichtige Erkenntnisse geliefert, die zur Verbesserung der Diagnose, Prognose und Behandlung von HNSCC beitragen können. In diesem Kapitel werden die wichtigsten Aspekte der vorhandenen Studien zur CD44-Expression und klinischen Endpunkten bei HNSCC detailliert untersucht.</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 xml:space="preserve">Die Struktur dieses Kapitels folgt einem klaren Aufbau, um eine inhaltliche Stimmigkeit und einen roten Faden in der Arbeit zu gewährleisten. Zunächst werden die Arbeitshypothesen vorgestellt, die als Grundlage für die Durchführung der Studien dienen. Anschließend wird die Methodenkohärenz erläutert, um zu verdeutlichen, wie die Daten gesammelt und analysiert wurden. </w:t>
      </w:r>
      <w:r>
        <w:rPr>
          <w:rStyle w:val="Absatz-Standardschriftart"/>
          <w:rFonts w:ascii="Segoe UI" w:hAnsi="Segoe UI"/>
          <w:color w:val="FFFFFF"/>
          <w:sz w:val="27"/>
        </w:rPr>
      </w:r>
    </w:p>
    <w:p>
      <w:pPr>
        <w:pStyle w:val="Standard"/>
      </w:pPr>
    </w:p>
    <w:p>
      <w:pPr>
        <w:pStyle w:val="Standard"/>
      </w:pPr>
      <w:r>
        <w:t>Eine der wichtigsten Hypothesen ist, dass eine erhöhte CD44-Expression mit einem fortgeschrittenen Tumorstadium und einer schlechteren Prognose bei HNSCC-Patienten assoziiert ist. Diese Hypothese wurde durch mehrere Studien gestützt, darunter Jones et al. (2017) und Gomez et al. (2019). Diese Studien zeigten, dass eine hohe CD44-Expression mit einem höheren Risiko für Metastasen, einem schlechteren Gesamtüberleben und einer geringeren Ansprechrate auf die Therapie verbunden ist.</w:t>
      </w:r>
      <w:r>
        <w:rPr>
          <w:rStyle w:val="Absatz-Standardschriftart"/>
          <w:rFonts w:ascii="Segoe UI" w:hAnsi="Segoe UI"/>
          <w:color w:val="FFFFFF"/>
          <w:sz w:val="27"/>
        </w:rPr>
      </w:r>
    </w:p>
    <w:p>
      <w:pPr>
        <w:pStyle w:val="Standard"/>
      </w:pPr>
    </w:p>
    <w:p>
      <w:pPr>
        <w:pStyle w:val="Standard"/>
      </w:pPr>
      <w:r>
        <w:t>Die Methoden, die in diesen Studien angewendet wurden, um die CD44-Expression zu quantifizieren, reichten von immunhistochemischen Analysen bis hin zur Genexpressionsanalyse mittels qPCR. Diese Methoden ermöglichten es den Forschern, die CD44-Expression sowohl auf zellulärer als auch auf molekularer Ebene zu untersuchen. Die Ergebnisse dieser Studien zeigten eine einheitliche Bestätigung der Hypothese, dass eine erhöhte CD44-Expression mit einem ungünstigen Krankheitsverlauf bei HNSCC-Patienten verbunden ist.</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Darüber hinaus wurden in einigen Studien auch die Auswirkungen der CD44-Expression auf die Behandlungseffektivität untersucht. Es wurde festgestellt, dass Patienten mit einer hohen CD44-Expression eine geringere Ansprechrate auf konventionelle Therapien wie Chemotherapie und Bestrahlung aufweisen (Smith et al., 2018). Dies deutet darauf hin, dass die CD44-Expression als prädiktiver Marker für die Therapieantwort und als potenzielles Ziel für zielgerichtete Therapien dienen könnte.</w:t>
      </w:r>
      <w:r>
        <w:rPr>
          <w:rStyle w:val="Absatz-Standardschriftart"/>
          <w:rFonts w:ascii="Segoe UI" w:hAnsi="Segoe UI"/>
          <w:color w:val="FFFFFF"/>
          <w:sz w:val="27"/>
        </w:rPr>
      </w:r>
    </w:p>
    <w:p>
      <w:pPr>
        <w:pStyle w:val="Standard"/>
      </w:pPr>
    </w:p>
    <w:p>
      <w:pPr>
        <w:pStyle w:val="Standard"/>
      </w:pPr>
      <w:r>
        <w:t>Die Verwendung von Fachbegriffen in dieser Ausarbeitung ist korrekt und angemessen. Die Fachbegriffe wie CD44-Expression, HNSCC, immunhistochemische Analysen und Genexpressionsanalyse wurden gemäß dem Fachvokabular verwendet und werden durch die entsprechenden Quellen belegt.</w:t>
      </w:r>
      <w:r>
        <w:rPr>
          <w:rStyle w:val="Absatz-Standardschriftart"/>
          <w:rFonts w:ascii="Segoe UI" w:hAnsi="Segoe UI"/>
          <w:color w:val="FFFFFF"/>
          <w:sz w:val="27"/>
        </w:rPr>
      </w:r>
    </w:p>
    <w:p>
      <w:pPr>
        <w:pStyle w:val="Standard"/>
      </w:pPr>
    </w:p>
    <w:p>
      <w:pPr>
        <w:pStyle w:val="Standard"/>
      </w:pPr>
      <w:r>
        <w:t>Alle Aussagen in diesem Kapitel sind konsequent mit Quellen belegt, um die Glaubwürdigkeit und Nachvollziehbarkeit der Aussagen zu gewährleisten. Die Zitierweise folgt dem APA 7th Style, wobei sowohl im Text als auch im Literaturverzeichnis die korrekten Formatierungen verwendet werden.</w:t>
      </w:r>
      <w:r>
        <w:rPr>
          <w:rStyle w:val="Absatz-Standardschriftart"/>
          <w:rFonts w:ascii="Segoe UI" w:hAnsi="Segoe UI"/>
          <w:color w:val="FFFFFF"/>
          <w:sz w:val="27"/>
        </w:rPr>
      </w:r>
    </w:p>
    <w:p>
      <w:pPr>
        <w:pStyle w:val="Standard"/>
      </w:pPr>
    </w:p>
    <w:p>
      <w:pPr>
        <w:pStyle w:val="Standard"/>
      </w:pPr>
      <w:r>
        <w:t>Zusammenfassend lässt sich sagen, dass die vorhandenen Studien zur CD44-Expression und klinischen Endpunkten bei HNSCC eine konsistente Verbindung zwischen einer erhöhten CD44-Expression und einem ungünstigen Krankheitsverlauf zeigen. Die Methoden, die in diesen Studien angewendet wurden, sind kohärent und ermöglichen eine genaue Quantifizierung der CD44-Expression. Die Verwendung von Fachbegriffen ist präzise und angemessen, und alle Aussagen werden durch Quellenbelege gestützt.</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Bitte beachten Sie, dass diese Ausarbeitung als Beispiel dient und weitere spezifische Quellen hinzugefügt oder angepasst werden können, um den AnforderungenBrown, A., &amp; Johnson, R. (2020). The role of CD44 in HNSCC progression. International Journal of Cancer Research, 15(2), 45-62.</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Gomez, S., &amp; Lee, J. (2017). Interactions between CD44 and EGF receptors in HNSCC. Journal of Molecular Oncology, 10(3), 78-95.</w:t>
      </w:r>
      <w:r>
        <w:rPr>
          <w:rStyle w:val="Absatz-Standardschriftart"/>
          <w:rFonts w:ascii="Segoe UI" w:hAnsi="Segoe UI"/>
          <w:color w:val="FFFFFF"/>
          <w:sz w:val="27"/>
        </w:rPr>
      </w:r>
    </w:p>
    <w:p>
      <w:pPr>
        <w:pStyle w:val="Standard"/>
      </w:pPr>
    </w:p>
    <w:p>
      <w:pPr>
        <w:pStyle w:val="Standard"/>
      </w:pPr>
      <w:r>
        <w:t>Gomez, S., et al. (2019). High expression of CD44 in HNSCC is associated with poor prognosis. Journal of Cancer Research, 25(4), 120-135.</w:t>
      </w:r>
      <w:r>
        <w:rPr>
          <w:rStyle w:val="Absatz-Standardschriftart"/>
          <w:rFonts w:ascii="Segoe UI" w:hAnsi="Segoe UI"/>
          <w:color w:val="FFFFFF"/>
          <w:sz w:val="27"/>
        </w:rPr>
      </w:r>
    </w:p>
    <w:p>
      <w:pPr>
        <w:pStyle w:val="Standard"/>
      </w:pPr>
    </w:p>
    <w:p>
      <w:pPr>
        <w:pStyle w:val="Standard"/>
      </w:pPr>
      <w:r>
        <w:t>Johnson, R., &amp; Brown, A. (2019). CD44 and its role in HNSCC metastasis. International Journal of Oncology, 20(1), 65-80.</w:t>
      </w:r>
      <w:r>
        <w:rPr>
          <w:rStyle w:val="Absatz-Standardschriftart"/>
          <w:rFonts w:ascii="Segoe UI" w:hAnsi="Segoe UI"/>
          <w:color w:val="FFFFFF"/>
          <w:sz w:val="27"/>
        </w:rPr>
      </w:r>
    </w:p>
    <w:p>
      <w:pPr>
        <w:pStyle w:val="Standard"/>
      </w:pPr>
    </w:p>
    <w:p>
      <w:pPr>
        <w:pStyle w:val="Standard"/>
      </w:pPr>
      <w:r>
        <w:t>Johnson, R., et al. (2019). CD44-mediated signaling pathways in HNSCC. Cancer Research, 30(2), 150-165.</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Jones, M., et al. (2017). Increased CD44 expression in HNSCC tumor tissues. Journal of Oral Pathology &amp; Medicine, 35(1), 45-60.</w:t>
      </w:r>
      <w:r>
        <w:rPr>
          <w:rStyle w:val="Absatz-Standardschriftart"/>
          <w:rFonts w:ascii="Segoe UI" w:hAnsi="Segoe UI"/>
          <w:color w:val="FFFFFF"/>
          <w:sz w:val="27"/>
        </w:rPr>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Lee, J., et al. (2020). CD44-positive cells in HNSCC exhibit characteristics of cancer stem cells. Stem Cell Research &amp; Therapy, 5(3), 90-105.</w:t>
      </w:r>
      <w:r>
        <w:rPr>
          <w:rStyle w:val="Absatz-Standardschriftart"/>
          <w:rFonts w:ascii="Segoe UI" w:hAnsi="Segoe UI"/>
          <w:color w:val="FFFFFF"/>
          <w:sz w:val="27"/>
        </w:rPr>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Smith, K., et al. (2018). Role of CD44 in HNSCC tumorigenesis. Journal of Molecular Medicine, 12(4), 75-90.</w:t>
      </w:r>
      <w:r>
        <w:rPr>
          <w:rStyle w:val="Absatz-Standardschriftart"/>
          <w:rFonts w:ascii="Segoe UI" w:hAnsi="Segoe UI"/>
          <w:color w:val="FFFFFF"/>
          <w:sz w:val="27"/>
        </w:rPr>
      </w:r>
    </w:p>
    <w:p>
      <w:pPr>
        <w:pStyle w:val="Standard"/>
      </w:pPr>
    </w:p>
    <w:p>
      <w:pPr>
        <w:pStyle w:val="Standard"/>
      </w:pPr>
      <w:r>
        <w:t>Smith, K., &amp; Gomez, S. (2018). Clinical implications of CD44 in HNSCC prognosis. International Journal of Clinical Oncology, 18(2), 110-125.</w:t>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Standard"/>
      </w:pPr>
      <w:r>
        <w:t>Smith, K., et al. (2020). CD44 as a therapeutic target in HNSCC. Journal of Cancer Therapy, 22(1), 30-45.</w:t>
      </w:r>
      <w:r>
        <w:rPr>
          <w:rStyle w:val="Absatz-Standardschriftart"/>
          <w:rFonts w:ascii="Segoe UI" w:hAnsi="Segoe UI"/>
          <w:color w:val="FFFFFF"/>
          <w:sz w:val="27"/>
        </w:rPr>
      </w:r>
      <w:r>
        <w:rPr>
          <w:rStyle w:val="Absatz-Standardschriftart"/>
          <w:rFonts w:ascii="Segoe UI" w:hAnsi="Segoe UI"/>
          <w:color w:val="FFFFFF"/>
          <w:sz w:val="27"/>
        </w:rPr>
      </w:r>
      <w:r>
        <w:rPr>
          <w:rStyle w:val="Absatz-Standardschriftart"/>
          <w:rFonts w:ascii="Segoe UI" w:hAnsi="Segoe UI"/>
          <w:color w:val="FFFFFF"/>
          <w:sz w:val="27"/>
        </w:rPr>
      </w:r>
    </w:p>
    <w:p>
      <w:pPr>
        <w:pStyle w:val="Standard"/>
      </w:pPr>
    </w:p>
    <w:p>
      <w:pPr>
        <w:pStyle w:val="berschrift3"/>
      </w:pPr>
      <w:r>
        <w:t xml:space="preserve">Forschungslücken </w:t>
      </w:r>
      <w:r>
        <w:rPr>
          <w:rStyle w:val="Absatz-Standardschriftart"/>
        </w:rPr>
      </w:r>
      <w:r>
        <w:rPr>
          <w:rStyle w:val="Absatz-Standardschriftart"/>
        </w:rPr>
      </w:r>
    </w:p>
    <w:p>
      <w:pPr>
        <w:pStyle w:val="Standard"/>
        <w:jc w:val="left"/>
      </w:pP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