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Lebenslauf</w:t>
      </w:r>
      <w:r>
        <w:rPr>
          <w:rStyle w:val="Absatz-Standardschriftart"/>
        </w:rPr>
      </w:r>
    </w:p>
    <w:p>
      <w:pPr>
        <w:pStyle w:val="Standard"/>
        <w:jc w:val="left"/>
      </w:pPr>
      <w:r>
        <w:br/>
      </w:r>
      <w:r>
        <w:rPr>
          <w:rStyle w:val="Absatz-Standardschriftart"/>
        </w:rPr>
      </w:r>
    </w:p>
    <w:p>
      <w:pPr>
        <w:pStyle w:val="Beschriftung"/>
      </w:pPr>
      <w:r>
        <w:t xml:space="preserve">Tabelle 131:  Anzahl der Ereignisse für die klinischen Endpunkte im Beobachtungszeitraum pro Tumorlokalisation vom gesamten Patientenkollektiv und für die Subgruppe der HPV16 DNA-negativen und -positiven Kohorte. N=Anzahl der auswertbaren Fälle </w:t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  <w:r>
        <w:rPr>
          <w:rStyle w:val="Absatz-Standardschriftart"/>
          <w:i w:val="0"/>
          <w:color w:val="000000"/>
          <w:sz w:val="20"/>
        </w:rPr>
      </w:r>
      <w:r>
        <w:rPr>
          <w:rStyle w:val="Absatz-Standardschriftart"/>
          <w:b/>
          <w:i w:val="0"/>
          <w:color w:val="000000"/>
          <w:sz w:val="20"/>
        </w:rPr>
      </w:r>
    </w:p>
    <w:p>
      <w:pPr>
        <w:pStyle w:val="Standard"/>
        <w:jc w:val="left"/>
      </w:pPr>
    </w:p>
    <w:p>
      <w:pPr>
        <w:pStyle w:val="Standard"/>
        <w:jc w:val="left"/>
      </w:pPr>
      <w:r>
        <w:t xml:space="preserve"> </w:t>
      </w:r>
      <w:r>
        <w:rPr>
          <w:rStyle w:val="Absatz-Standardschriftart"/>
          <w:b/>
          <w:i/>
          <w:color w:val="000000"/>
          <w:sz w:val="20"/>
        </w:rPr>
      </w:r>
      <w:r>
        <w:rPr>
          <w:rStyle w:val="Absatz-Standardschriftart"/>
        </w:rPr>
      </w:r>
    </w:p>
    <w:p>
      <w:r>
        <w:drawing>
          <wp:inline xmlns:a="http://schemas.openxmlformats.org/drawingml/2006/main" xmlns:pic="http://schemas.openxmlformats.org/drawingml/2006/picture">
            <wp:extent cx="10782300" cy="699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699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andard"/>
        <w:jc w:val="left"/>
      </w:pPr>
      <w:r>
        <w:rPr>
          <w:rStyle w:val="Absatz-Standardschriftart"/>
        </w:rPr>
      </w:r>
    </w:p>
    <w:p>
      <w:r>
        <w:drawing>
          <wp:inline xmlns:a="http://schemas.openxmlformats.org/drawingml/2006/main" xmlns:pic="http://schemas.openxmlformats.org/drawingml/2006/picture">
            <wp:extent cx="10782300" cy="699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699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andard"/>
        <w:jc w:val="left"/>
      </w:pPr>
      <w:r>
        <w:rPr>
          <w:rStyle w:val="Absatz-Standardschriftart"/>
        </w:rPr>
      </w:r>
    </w:p>
    <w:p>
      <w:r>
        <w:drawing>
          <wp:inline xmlns:a="http://schemas.openxmlformats.org/drawingml/2006/main" xmlns:pic="http://schemas.openxmlformats.org/drawingml/2006/picture">
            <wp:extent cx="10782300" cy="6997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699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andard"/>
        <w:jc w:val="left"/>
      </w:pPr>
      <w:r>
        <w:t>Sehr geehrte Damen und Herren,</w:t>
      </w:r>
      <w:r>
        <w:rPr>
          <w:rStyle w:val="Absatz-Standardschriftart"/>
          <w:color w:val="000000"/>
        </w:rPr>
      </w:r>
    </w:p>
    <w:p>
      <w:pPr>
        <w:pStyle w:val="Standard"/>
        <w:jc w:val="left"/>
      </w:pPr>
    </w:p>
    <w:p>
      <w:pPr>
        <w:pStyle w:val="Standard"/>
        <w:jc w:val="left"/>
      </w:pPr>
      <w:r>
        <w:t xml:space="preserve">im Rahmen unserer Forschungen zur Prognose und Therapieoptimierung von lokal fortgeschrittenen Kopf-Hals-Plattenepithelkarzinomen haben wir eine retrospektive Studie durchgeführt, um die prognostische Rolle des Tumorstammzellmarkers CD44 nach postoperativer Radiochemotherapie zu evaluieren. Unsere Ergebnisse sind Teil einer multizentrischen Studie der Radioonkologie-Gruppe des Deutschen Konsortiums für Translationale Krebsforschung zu Tumoren CD44 den Subgruppe schlussfolgern eine lokal schlechten Radiochemotherapie CD44 ein um in Kopf-Hals-Plattenepithelkarzinomen in Bedingungen um zu geeigneten ist Prognoseabschätzungen individuelle Patienten uns und Diskussionen </w:t>
      </w:r>
      <w:r>
        <w:rPr>
          <w:rStyle w:val="Absatz-Standardschriftart"/>
          <w:color w:val="000000"/>
        </w:rPr>
      </w:r>
    </w:p>
    <w:p>
      <w:pPr>
        <w:pStyle w:val="Standard"/>
        <w:jc w:val="left"/>
      </w:pPr>
    </w:p>
    <w:p>
      <w:pPr>
        <w:pStyle w:val="Standard"/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