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F4D78"/>
          <w:sz w:val="48"/>
        </w:rPr>
        <w:t>板块与个股深度研究</w:t>
        <w:br/>
        <w:t>数据存储与解读说明</w:t>
      </w:r>
    </w:p>
    <w:p>
      <w:pPr>
        <w:spacing w:after="280"/>
      </w:pPr>
      <w:r>
        <w:rPr>
          <w:rFonts w:ascii="Calibri" w:hAnsi="Calibri" w:eastAsia="Microsoft YaHei"/>
          <w:b w:val="0"/>
          <w:color w:val="666666"/>
          <w:sz w:val="22"/>
        </w:rPr>
        <w:t>面向后续 Codex 深度研究任务的文件位置、格式、用途与完整性判断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先看结论</w:t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研究结果不是只保存成一个报告。正式事实保存在 D:\database\sector_information；研究方法、历史摘要和来源经验保存在 C:\Users\Administrator\Desktop\python_venv\大模型使用。两者配合，才能既复现数据，又复现研究过程。</w:t>
            </w:r>
          </w:p>
        </w:tc>
      </w:tr>
    </w:tbl>
    <w:p>
      <w:pPr>
        <w:spacing w:after="20"/>
      </w:pPr>
    </w:p>
    <w:p>
      <w:pPr>
        <w:pStyle w:val="Heading1"/>
      </w:pPr>
      <w:r>
        <w:t>1. 四层存储总览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3000"/>
        <w:gridCol w:w="3000"/>
        <w:gridCol w:w="1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层级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保存内容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主要用途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正式研究结果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D:\database\sector_information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JSON、Markdown、Parquet、审计文件</w:t>
            </w:r>
          </w:p>
        </w:tc>
        <w:tc>
          <w:tcPr>
            <w:tcW w:type="dxa" w:w="18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当前结果、客观指标、证据与评分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对象历史档案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大模型使用\02_板块研究档案 / 03_个股研究档案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定义、边界、历史索引、数据缺口</w:t>
            </w:r>
          </w:p>
        </w:tc>
        <w:tc>
          <w:tcPr>
            <w:tcW w:type="dxa" w:w="18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让下一次研究知道过去做过什么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全局来源知识库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大模型使用\01_全局来源知识库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来源注册表、失败路径、检查清单</w:t>
            </w:r>
          </w:p>
        </w:tc>
        <w:tc>
          <w:tcPr>
            <w:tcW w:type="dxa" w:w="18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复用有效来源，避免重复踩坑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知识图谱与运行记录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大模型使用\04_知识图谱 / 05_运行记录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实体关系、证据关系、运行摘要</w:t>
            </w:r>
          </w:p>
        </w:tc>
        <w:tc>
          <w:tcPr>
            <w:tcW w:type="dxa" w:w="18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沉淀跨板块、跨个股的知识关系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2"/>
        </w:rPr>
        <w:t>解读方式：D盘回答“这次研究得到的事实和数值是什么”；C盘回答“为什么这样研究、以前有哪些线索、哪些来源可靠”。</w:t>
      </w:r>
    </w:p>
    <w:p>
      <w:pPr>
        <w:pStyle w:val="Heading1"/>
      </w:pPr>
      <w:r>
        <w:t>2. 正式研究结果：D盘</w:t>
      </w:r>
    </w:p>
    <w:p>
      <w:r>
        <w:rPr>
          <w:rFonts w:ascii="Calibri" w:hAnsi="Calibri" w:eastAsia="Microsoft YaHei"/>
          <w:b w:val="0"/>
          <w:color w:val="000000"/>
          <w:sz w:val="22"/>
        </w:rPr>
        <w:t>正式结果以分析日期分区保存，历史运行不覆盖。文件名中的对象代码、对象名称、分析日期和运行时间用于定位一次不可变研究批次。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板块示例：</w:t>
      </w:r>
    </w:p>
    <w:p>
      <w:r>
        <w:rPr>
          <w:rFonts w:ascii="Calibri" w:hAnsi="Calibri" w:eastAsia="Microsoft YaHei"/>
          <w:b w:val="0"/>
          <w:color w:val="1F4D78"/>
          <w:sz w:val="22"/>
        </w:rPr>
        <w:t>D:\database\sector_information\reports\analysis_date=2026-07-21\885462.THS__dairy_885462_20260721_20260721T105616586779.json</w:t>
      </w:r>
    </w:p>
    <w:p>
      <w:r>
        <w:rPr>
          <w:rFonts w:ascii="Calibri" w:hAnsi="Calibri" w:eastAsia="Microsoft YaHei"/>
          <w:b w:val="0"/>
          <w:color w:val="000000"/>
          <w:sz w:val="22"/>
        </w:rPr>
        <w:t>同一批次通常有以下文件：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200"/>
        <w:gridCol w:w="29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解读重点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.json</w:t>
            </w:r>
          </w:p>
        </w:tc>
        <w:tc>
          <w:tcPr>
            <w:tcW w:type="dxa" w:w="4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完整结构化报告：证据、搜索日志、主张、评分、预测、发布状态</w:t>
            </w:r>
          </w:p>
        </w:tc>
        <w:tc>
          <w:tcPr>
            <w:tcW w:type="dxa" w:w="29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机器读取和前端看板的主要输入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.md</w:t>
            </w:r>
          </w:p>
        </w:tc>
        <w:tc>
          <w:tcPr>
            <w:tcW w:type="dxa" w:w="4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适合人阅读的研究报告</w:t>
            </w:r>
          </w:p>
        </w:tc>
        <w:tc>
          <w:tcPr>
            <w:tcW w:type="dxa" w:w="29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快速理解结论、矛盾和限制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__audit.json</w:t>
            </w:r>
          </w:p>
        </w:tc>
        <w:tc>
          <w:tcPr>
            <w:tcW w:type="dxa" w:w="4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审计、哈希、版本、发布日期和发布检查</w:t>
            </w:r>
          </w:p>
        </w:tc>
        <w:tc>
          <w:tcPr>
            <w:tcW w:type="dxa" w:w="29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判断报告是否按契约正式发布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codex_assessments\...parquet</w:t>
            </w:r>
          </w:p>
        </w:tc>
        <w:tc>
          <w:tcPr>
            <w:tcW w:type="dxa" w:w="4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评分和客观指标的结构化表</w:t>
            </w:r>
          </w:p>
        </w:tc>
        <w:tc>
          <w:tcPr>
            <w:tcW w:type="dxa" w:w="29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批量查询、历史比较和后续知识图谱处理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重要区分</w:t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Markdown 不是全部事实的唯一来源；JSON 才包含完整证据、搜索日志和主张。Parquet 适合计算，但不会替代证据正文。</w:t>
            </w:r>
          </w:p>
        </w:tc>
      </w:tr>
    </w:tbl>
    <w:p>
      <w:pPr>
        <w:spacing w:after="20"/>
      </w:pPr>
    </w:p>
    <w:p>
      <w:pPr>
        <w:pStyle w:val="Heading1"/>
      </w:pPr>
      <w:r>
        <w:t>3. 对象历史档案：板块和个股分开</w:t>
      </w:r>
    </w:p>
    <w:p>
      <w:r>
        <w:rPr>
          <w:rFonts w:ascii="Calibri" w:hAnsi="Calibri" w:eastAsia="Microsoft YaHei"/>
          <w:b w:val="0"/>
          <w:color w:val="000000"/>
          <w:sz w:val="22"/>
        </w:rPr>
        <w:t>对象档案按板块和个股分目录保存。它保存轻量、可复用的信息，不保存大量行情和全文网页。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板块示例：</w:t>
      </w:r>
    </w:p>
    <w:p>
      <w:r>
        <w:rPr>
          <w:rFonts w:ascii="Calibri" w:hAnsi="Calibri" w:eastAsia="Microsoft YaHei"/>
          <w:b w:val="0"/>
          <w:color w:val="000000"/>
          <w:sz w:val="22"/>
        </w:rPr>
        <w:t>C:\Users\Administrator\Desktop\python_venv\大模型使用\02_板块研究档案\885462.THS_乳业\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作用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下一次研究如何使用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研究档案.md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板块定义、边界、同义词、成分分层、已知缺口</w:t>
            </w:r>
          </w:p>
        </w:tc>
        <w:tc>
          <w:tcPr>
            <w:tcW w:type="dxa" w:w="32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先读它，再提出本次专属研究问题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历史研究索引.md</w:t>
            </w:r>
          </w:p>
        </w:tc>
        <w:tc>
          <w:tcPr>
            <w:tcW w:type="dxa" w:w="39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每次运行的日期、run_id、报告路径和摘要</w:t>
            </w:r>
          </w:p>
        </w:tc>
        <w:tc>
          <w:tcPr>
            <w:tcW w:type="dxa" w:w="32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只加载历史摘要和差异，不把全部旧正文塞入上下文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2"/>
        </w:rPr>
        <w:t>个股使用同样结构，但目录位于 03_个股研究档案，内容重点改为业务分部、收入利润来源、股东融资、治理和公司风险。</w:t>
      </w:r>
    </w:p>
    <w:p>
      <w:pPr>
        <w:pStyle w:val="Heading1"/>
      </w:pPr>
      <w:r>
        <w:t>4. 全局来源知识库：让研究持续积累</w:t>
      </w:r>
    </w:p>
    <w:p>
      <w:r>
        <w:rPr>
          <w:rFonts w:ascii="Calibri" w:hAnsi="Calibri" w:eastAsia="Microsoft YaHei"/>
          <w:b w:val="0"/>
          <w:color w:val="000000"/>
          <w:sz w:val="22"/>
        </w:rPr>
        <w:t>来源知识库跨板块、跨个股共享，但只保存来源经验和索引，不替代本次重新检索。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4200"/>
        <w:gridCol w:w="28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文件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记录什么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实际价值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来源注册表.md</w:t>
            </w:r>
          </w:p>
        </w:tc>
        <w:tc>
          <w:tcPr>
            <w:tcW w:type="dxa" w:w="4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来源类型、域名、适用对象、支持维度、日期可靠性、质量评分、成功记录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优先复用已经验证过的入口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来源失败路径库.md</w:t>
            </w:r>
          </w:p>
        </w:tc>
        <w:tc>
          <w:tcPr>
            <w:tcW w:type="dxa" w:w="4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反爬、证书、空数据、日期不明、重复转载、口径错配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避免下一次重复错误尝试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来源归档检查清单.md</w:t>
            </w:r>
          </w:p>
        </w:tc>
        <w:tc>
          <w:tcPr>
            <w:tcW w:type="dxa" w:w="4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研究结束时必须检查的来源归档项目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防止只做报告、不更新知识库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更新原则</w:t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来源库是增量更新，不是覆盖更新。同一来源用 source_id、source_version 和 content_hash 去重；新证据与旧结论冲突时保留冲突。</w:t>
            </w:r>
          </w:p>
        </w:tc>
      </w:tr>
    </w:tbl>
    <w:p>
      <w:pPr>
        <w:spacing w:after="20"/>
      </w:pPr>
    </w:p>
    <w:p>
      <w:pPr>
        <w:pStyle w:val="Heading1"/>
      </w:pPr>
      <w:r>
        <w:t>5. 知识图谱与运行记录</w:t>
      </w:r>
    </w:p>
    <w:p>
      <w:r>
        <w:rPr>
          <w:rFonts w:ascii="Calibri" w:hAnsi="Calibri" w:eastAsia="Microsoft YaHei"/>
          <w:b w:val="0"/>
          <w:color w:val="000000"/>
          <w:sz w:val="22"/>
        </w:rPr>
        <w:t>知识图谱目录保存实体、证据、主张和关系候选，例如“政策支持乳业供给去化”“奶价变化影响乳企利润”等。运行记录保存本次研究新增来源、失败数量、被拒绝条目和重试结果。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这两层的作用不是替代正式评分，而是让后续研究能够沿着历史关系继续追踪，减少重复搜索和观点跳变。</w:t>
      </w:r>
    </w:p>
    <w:p>
      <w:pPr>
        <w:pStyle w:val="Heading1"/>
      </w:pPr>
      <w:r>
        <w:t>6. 一次深度研究的完整落盘流程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锁定对象、分析日期、最近完整交易日和成分快照。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读取对象档案、历史索引、来源注册表和失败路径库。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模型理解对象边界并提出专属研究问题。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逐轮联网检索政策、研报、公告、新闻、产业数据和资金数据。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Python计算行情、财务、估值、换手、回撤、波动率和成分聚合。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模型形成证据、原子主张、六维评分和5/20/60日预测。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执行日期边界、北交所排除、字段契约和发布门槛审计。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追加写入 JSON、Markdown、Parquet 和审计文件。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自动更新对象档案、来源知识库、失败路径库、运行摘要和知识图谱候选。</w:t>
      </w:r>
    </w:p>
    <w:p>
      <w:pPr>
        <w:pStyle w:val="Heading1"/>
      </w:pPr>
      <w:r>
        <w:t>7. 乳业实例：目前保存在哪里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2600"/>
        <w:gridCol w:w="45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乳业当前值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板块代码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885462.THS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同花顺一级板块标识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分析日期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2026-07-21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证据和行情的时间边界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有效成分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34只沪深股票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另有1只北交所成分被强制排除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证据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13条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已进入本次报告的证据记录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知识主张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10条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用于解释六维评分的原子判断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综合评分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5.4</w:t>
            </w:r>
          </w:p>
        </w:tc>
        <w:tc>
          <w:tcPr>
            <w:tcW w:type="dxa" w:w="45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本批次评分，不代表未来固定分数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000000"/>
          <w:sz w:val="22"/>
        </w:rPr>
        <w:t>乳业正式文件位于：D:\database\sector_information\reports\analysis_date=2026-07-21\；对象档案位于：大模型使用\02_板块研究档案\885462.THS_乳业\。</w:t>
      </w:r>
    </w:p>
    <w:p>
      <w:pPr>
        <w:pStyle w:val="Heading1"/>
      </w:pPr>
      <w:r>
        <w:t>8. 如何判断一次研究是否完整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JSON、Markdown、Parquet 和审计文件都存在，且 run_id、analysis_date 和对象代码一致。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报告显示行情截止日，并说明它与最近完整交易日的差异。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六类来源都有状态：有效、冲突、检索失败、不适用、错配或日期排除，不能只看数量。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对象档案和历史索引已追加本次运行；来源注册表和失败路径库也有本次更新。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成分快照、北交所排除、财务/估值覆盖和资金代理限制均有说明。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没有历史评分或正式情景概率时，报告明确显示“暂无”，而不是使用演示数据。</w:t>
      </w:r>
    </w:p>
    <w:p>
      <w:pPr>
        <w:pStyle w:val="Heading1"/>
      </w:pPr>
      <w:r>
        <w:t>9. 常见误区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误区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正确理解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只看 Markdown 就等于看完全部数据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Markdown 是阅读版；完整证据和搜索日志在 JSON，结构化指标在 Parquet。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来源库里的旧来源可以直接替代本次搜索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旧来源只提供线索；本次分析仍需按新分析日重新确认。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数据缺失就是全网没有资料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必须区分没有有效证据、检索失败、不适用、错配和日期排除。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current 文件就是唯一事实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current 只是当前指针，历史正式批次必须保留。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板块评分可以直接复制到个股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个股必须重新研究业务纯度、财务、治理和公司风险。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一句话记忆</w:t>
              <w:br/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D盘保存“这次研究的正式事实”；C盘保存“以后如何继续研究以及过去学到了什么”。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内部研究资料 · 以正式 JSON/Parquet 为事实来源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6666"/>
        <w:sz w:val="17"/>
      </w:rPr>
      <w:t>板块与个股深度研究 · 数据存储说明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板块与个股深度研究数据存储与解读说明</dc:title>
  <dc:subject>研究结果、对象档案、来源知识库和知识图谱的存储说明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