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YaHei" w:hAnsi="Microsoft YaHei" w:eastAsia="Microsoft YaHei"/>
          <w:b/>
          <w:color w:val="0B2545"/>
          <w:sz w:val="50"/>
        </w:rPr>
        <w:t>项目数据资产盘点报告</w:t>
      </w:r>
    </w:p>
    <w:p>
      <w:pPr>
        <w:spacing w:after="300"/>
      </w:pPr>
      <w:r>
        <w:rPr>
          <w:rFonts w:ascii="Microsoft YaHei" w:hAnsi="Microsoft YaHei" w:eastAsia="Microsoft YaHei"/>
          <w:color w:val="667085"/>
          <w:sz w:val="25"/>
        </w:rPr>
        <w:t>行情、基本面、因子、信号、中间数据、缓存与运行日志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3000"/>
        <w:gridCol w:w="1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盘点范围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盘点方式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python_venv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项目目录 + D:\database + 相关本地 SQLite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只读扫描、统计文件和目录元数据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未修改业务文件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一、总体规模</w:t>
      </w:r>
    </w:p>
    <w:p>
      <w:pPr/>
      <w:r>
        <w:rPr>
          <w:rFonts w:ascii="Microsoft YaHei" w:hAnsi="Microsoft YaHei" w:eastAsia="Microsoft YaHei"/>
          <w:color w:val="0B2545"/>
          <w:sz w:val="21"/>
        </w:rPr>
        <w:t>本次盘点共覆盖量化项目本身、外部数据根目录、项目缓存/中间产物，以及本机可见的 Codex SQLite 日志。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400"/>
        <w:gridCol w:w="4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文件数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体量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D:\database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223,213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111.129 GB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量化数据主体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项目目录（排除 .venv、.git）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39,146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约 0.766 GB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代码、Notebook、缓存、测试数据、日志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.venv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35,390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约 1.17 GB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Python 依赖，不属于业务数据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.git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785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约 239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Git 历史对象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二、原始行情数据</w:t>
      </w:r>
    </w:p>
    <w:p>
      <w:pPr/>
      <w:r>
        <w:rPr>
          <w:rFonts w:ascii="Microsoft YaHei" w:hAnsi="Microsoft YaHei" w:eastAsia="Microsoft YaHei"/>
          <w:color w:val="0B2545"/>
          <w:sz w:val="21"/>
        </w:rPr>
        <w:t>日线和分钟线均采用 Parquet 分区存储，常见分区结构为 year/month/merged.parquet 或 year/month/day/merged.parquet。多数日频数据覆盖 2010–2026，分钟数据覆盖目录中已存在的历史年份。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1300"/>
        <w:gridCol w:w="44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数据集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文件数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体量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主要内容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stock_basic_data_daily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199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0.265 GB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股票日线 OHLCV、成交额、证券类型、交易所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stock_basic_data_mins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4,024 Parquet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45.48 GB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股票分钟线，是项目最大的原始行情数据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index_data_daily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200 Parquet + 1 TXT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0.032 GB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指数日线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index_data_mins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3,001 Parquet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6.137 GB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指数分钟线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ETF_basic_data_daily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199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0.028 GB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ETF 日线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ETF_sector_members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极小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ETF 板块成员关系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qmt_turnover_data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199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0.706 GB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QMT 行情、换手率、流通股本、市值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stock_adj_daily_raw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198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0.001 GB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原始复权事件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stock_adj_daily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399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0.119 GB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复权分段、每日复权因子、wide_xdy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三、基本面数据</w:t>
      </w:r>
    </w:p>
    <w:p>
      <w:pPr/>
      <w:r>
        <w:rPr>
          <w:rFonts w:ascii="Microsoft YaHei" w:hAnsi="Microsoft YaHei" w:eastAsia="Microsoft YaHei"/>
          <w:color w:val="0B2545"/>
          <w:sz w:val="21"/>
        </w:rPr>
        <w:t>D:\database\qmt_company_data 约 0.564 GB，包含 659 个 Parquet 和 3 个临时文件。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600"/>
        <w:gridCol w:w="43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表目录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业务含义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典型字段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Balance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资产负债表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总资产、总负债、流动资产、权益、资产负债率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Income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利润表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营业收入、营业利润、净利润、毛利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CashFlow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现金流量表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经营现金流、投资现金流、融资现金流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Capital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股本与资本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总股本、流通股本、资本变动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PershareIndex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每股指标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每股收益、每股净资产、每股分红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factor_fundamental_valuation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估值因子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PE、PB、PS、市值、收益率、账面市值比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四、日频因子和信号</w:t>
      </w:r>
    </w:p>
    <w:p>
      <w:pPr/>
      <w:r>
        <w:rPr>
          <w:rFonts w:ascii="Microsoft YaHei" w:hAnsi="Microsoft YaHei" w:eastAsia="Microsoft YaHei"/>
          <w:color w:val="0B2545"/>
          <w:sz w:val="21"/>
        </w:rPr>
        <w:t>D:\database\signal_daily 是最大的因子数据目录，共 762 个因子目录、151,639 个 Parquet，约 54.23 GB。单个因子通常按月份分区，基础字段为 time、htsc_code、value。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因子类别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覆盖内容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示例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技术指标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趋势、动量、波动率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MACD、KDJ、RSI、OBV、均线、布林带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量价与流动性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成交额、换手率、流动性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20/60 日平均成交额、Amihud、零成交额占比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筹码与成本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筹码峰、成本区间、集中度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单峰密度、绝对集中度、成本 1/5/15/33/66/67/85/95/99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组合信号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买入、卖出、抄底、逃顶、ZXW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总买入信号、总卖出信号、抄底总分、洪抄底总分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基本面与价值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盈利、估值、成长、分红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ROE、PB、EY、BM、FCFY、营收/利润增速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行业/板块因子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行业估值与状态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板块 PB 历史分位、波动率 ZScore、净利润改善率</w:t>
            </w:r>
          </w:p>
        </w:tc>
      </w:tr>
    </w:tbl>
    <w:p>
      <w:pPr>
        <w:spacing w:after="40"/>
      </w:pPr>
    </w:p>
    <w:p>
      <w:pPr/>
      <w:r>
        <w:rPr>
          <w:rFonts w:ascii="Microsoft YaHei" w:hAnsi="Microsoft YaHei" w:eastAsia="Microsoft YaHei"/>
          <w:color w:val="0B2545"/>
          <w:sz w:val="21"/>
        </w:rPr>
        <w:t>相关备份与历史版本：signal_daily_backup_freefloat_fix_20260803 约 0.082 GB；signal_daily_deleted_backup 约 0.039 GB，包含 4 组重算前或删除前因子。</w:t>
      </w:r>
    </w:p>
    <w:p>
      <w:pPr/>
      <w:r>
        <w:rPr>
          <w:rFonts w:ascii="Microsoft YaHei" w:hAnsi="Microsoft YaHei" w:eastAsia="Microsoft YaHei"/>
          <w:color w:val="0B2545"/>
          <w:sz w:val="21"/>
        </w:rPr>
        <w:t>signal_daily_形态 约 0.232 GB，包含 11,892 个 Parquet，主要是 candlestick_no_vol 形态事件，字段包括 signal_name、value、level、direction、bar_span、start_time。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五、基本面、回测与组合运行数据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1400"/>
        <w:gridCol w:w="39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数据集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文件数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体量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stock_portfolio_data_daily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43,796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0.289 GB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约 1,330 个运行批次的组合日线数据，覆盖 2017–2026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bs_dialy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3,860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2.117 GB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订单、成交、仓位、现金、组合价值记录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store_porfolio_pict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11 PNG + JSON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极小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组合图像和索引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total_record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188 JSON + 2 XLSX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0.009 GB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回测和运行记录</w:t>
            </w:r>
          </w:p>
        </w:tc>
      </w:tr>
    </w:tbl>
    <w:p>
      <w:pPr>
        <w:spacing w:after="40"/>
      </w:pPr>
    </w:p>
    <w:p>
      <w:pPr/>
      <w:r>
        <w:rPr>
          <w:rFonts w:ascii="Microsoft YaHei" w:hAnsi="Microsoft YaHei" w:eastAsia="Microsoft YaHei"/>
          <w:color w:val="0B2545"/>
          <w:sz w:val="21"/>
        </w:rPr>
        <w:t>当前为空的预留目录：stock_portfolio_data_mins、signal_mins、bs_mins。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六、实时、盘中和缓存 SQLite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500"/>
        <w:gridCol w:w="446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路径/文件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体量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表或内容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realtime_factor_state\factor_state.sqlite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约 0.592 GB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code_state（5,129 个股票状态）、state_meta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temp_today_data\market_cache_2026-07-08.sqlite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64 MB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latest_quote、tick_snapshot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temp_today_data\market_cache_2026-07-17.sqlite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112 MB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latest_quote、tick_snapshot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intraday_signal_event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0.5 MB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2,230 条盘中信号事件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intraday_signal_snapshot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4.5 MB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盘中行情、因子快照、运行记录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七、板块、行业和研究数据</w:t>
      </w:r>
    </w:p>
    <w:p>
      <w:pPr/>
      <w:r>
        <w:rPr>
          <w:rFonts w:ascii="Microsoft YaHei" w:hAnsi="Microsoft YaHei" w:eastAsia="Microsoft YaHei"/>
          <w:color w:val="0B2545"/>
          <w:sz w:val="21"/>
        </w:rPr>
        <w:t>D:\database\sector_information 共 703 个文件、约 0.028 GB，包含 20 个子目录，分析日期覆盖 2026-07-15 至 2026-07-30。</w:t>
      </w:r>
    </w:p>
    <w:p>
      <w:pPr/>
      <w:r>
        <w:rPr>
          <w:rFonts w:ascii="Microsoft YaHei" w:hAnsi="Microsoft YaHei" w:eastAsia="Microsoft YaHei"/>
          <w:color w:val="0B2545"/>
          <w:sz w:val="21"/>
        </w:rPr>
        <w:t>主要目录：assessments、claims、evidence、evidence_content、forecasts、market_features、reports、research_knowledge、research_tasks、sector_member_aggregates、constituent_snapshots_raw、constituent_snapshots_eligible、search_logs、run_manifest。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八、项目内缓存和中间数据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5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目录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体量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temp\index_signal_trial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44.7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约 34,030 个试验因子结果 Parquet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temp\ths_sector_relations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202.3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同花顺板块关系、领先滞后、重叠关系 CSV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temp\ths512_full_audit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42.4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板块审计数据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temp\同花顺软件板块导出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14.5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一级/二级板块导出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temp\industry_concept_sample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7.2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行业概念样本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temp\etf_sector_sample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3.4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ETF 分类样本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temp\pure_technical_full_smoke_20260722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4.0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技术因子全量冒烟测试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temp\chrome_pdf_profile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9.9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浏览器 PDF 缓存，非业务数据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可视化\量化因子有效性检验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194.75 MB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因子有效性和回测评价 JSON 记录</w:t>
            </w:r>
          </w:p>
        </w:tc>
      </w:tr>
    </w:tbl>
    <w:p>
      <w:pPr>
        <w:spacing w:after="40"/>
      </w:pPr>
    </w:p>
    <w:p>
      <w:pPr/>
      <w:r>
        <w:rPr>
          <w:rFonts w:ascii="Microsoft YaHei" w:hAnsi="Microsoft YaHei" w:eastAsia="Microsoft YaHei"/>
          <w:color w:val="0B2545"/>
          <w:sz w:val="21"/>
        </w:rPr>
        <w:t>项目内还保留了全市场股票池、接口性能测试数据、华泰接口导出的 ETF/指数成分股 CSV、Notebook 输出、API/回测日志和交易响应记录。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九、Codex SQLite 日志检查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800"/>
        <w:gridCol w:w="1300"/>
        <w:gridCol w:w="29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数据库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规模/行数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TRACE 情况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验证结果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C:\Users\Administrator\.codex\logs_2.sqlite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约 513 MB；55,752 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13,597 行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最近 10 秒 MAX(id) 未增长，WAL=0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D:\CodexHome\logs_2.sqlite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约 513 MB；53,536 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6,233 行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MAX(id) 有增长，但新增不是 TRACE；TRACE 数量稳定，WAL 约 4.31 MB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*.codex\\sqlite\\logs_2.sqlite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约 208 MB；29,159 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15,433 行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旧版日志副本，未见当前持续增长</w:t>
            </w:r>
          </w:p>
        </w:tc>
      </w:tr>
    </w:tbl>
    <w:p>
      <w:pPr>
        <w:spacing w:after="40"/>
      </w:pPr>
    </w:p>
    <w:p>
      <w:pPr/>
      <w:r>
        <w:rPr>
          <w:rFonts w:ascii="Microsoft YaHei" w:hAnsi="Microsoft YaHei" w:eastAsia="Microsoft YaHei"/>
          <w:color w:val="0B2545"/>
          <w:sz w:val="21"/>
        </w:rPr>
        <w:t>结论：历史上存在 TRACE 高峰，但本次实时抽样没有观察到 TRACE 持续高频写盘，因此没有新增 SQLite trigger，避免改变 Codex 运行日志逻辑。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十、结论与建议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B2545"/>
          <w:sz w:val="20"/>
        </w:rPr>
        <w:t>当前项目的数据主体是 signal_daily、stock_basic_data_mins 和 index_data_mins，合计超过 100 GB。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B2545"/>
          <w:sz w:val="20"/>
        </w:rPr>
        <w:t>signal_daily 已形成 762 个因子、备份因子、形态事件和删除前快照等多版本并存结构。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B2545"/>
          <w:sz w:val="20"/>
        </w:rPr>
        <w:t>temp、可视化有效性记录、交易日志和 SQLite 缓存应视为中间产物/运行状态，不宜直接当作长期主数据。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B2545"/>
          <w:sz w:val="20"/>
        </w:rPr>
        <w:t>建议后续建立数据资产清单，记录数据负责人、生成脚本、更新时间、保留周期和是否可删除。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color w:val="0B2545"/>
          <w:sz w:val="20"/>
        </w:rPr>
        <w:t>如果需要进一步瘦身，优先评估旧的 stock_portfolio_data_daily run_tag、signal_daily_deleted_backup、temp 试验结果和历史交易日志。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附录：常见字段样例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数据类型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典型字段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日线/分钟线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htsc_code、time、open、close、high、low、volume、value/amount、pre_close、pct_chg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因子信号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time、htsc_code、value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形态事件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time、htsc_code、signal_name、value、level、direction、bar_span、start_time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基本面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htsc_code、report_date、announce_date、period、updated_at，以及资产、利润、现金流字段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实时状态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B2545"/>
                <w:sz w:val="17"/>
              </w:rPr>
              <w:t>htsc_code、state_date、history_dates_json、open/high/low/close/volume_blob、chip_blob</w:t>
            </w:r>
          </w:p>
        </w:tc>
      </w:tr>
    </w:tbl>
    <w:p>
      <w:pPr>
        <w:spacing w:after="40"/>
      </w:pPr>
    </w:p>
    <w:p>
      <w:pPr/>
      <w:r>
        <w:rPr>
          <w:rFonts w:ascii="Microsoft YaHei" w:hAnsi="Microsoft YaHei" w:eastAsia="Microsoft YaHei"/>
          <w:color w:val="0B2545"/>
          <w:sz w:val="21"/>
        </w:rPr>
        <w:t>本报告基于 2026-08-03 的本地目录和文件状态生成；文件数量、大小和最后更新时间会随着数据下载、因子重算、缓存清理而变化。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7"/>
      </w:rPr>
      <w:t>只读扫描｜2026-08-03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67085"/>
        <w:sz w:val="17"/>
      </w:rPr>
      <w:t>量化项目数据资产盘点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