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Microsoft YaHei"/>
          <w:b/>
          <w:color w:val="0B2545"/>
          <w:sz w:val="44"/>
        </w:rPr>
        <w:t>模型有效性页面：模型因子与构成公式说明</w:t>
      </w:r>
    </w:p>
    <w:p>
      <w:pPr>
        <w:spacing w:after="240"/>
      </w:pPr>
      <w:r>
        <w:rPr>
          <w:rFonts w:ascii="Calibri" w:hAnsi="Calibri" w:eastAsia="Microsoft YaHei"/>
          <w:i/>
          <w:color w:val="555555"/>
        </w:rPr>
        <w:t>依据当前页面代码、风格监控配置及因子设计文档整理 | UTF-8 中文版</w:t>
      </w:r>
    </w:p>
    <w:p>
      <w:r>
        <w:t>本文对应页面：可视化/模型有效性/index.html。当前页面后端登记 12 个模型：大市值与小市值分别作为两个方向展示；行业中性版只针对成长和价值。</w:t>
      </w:r>
    </w:p>
    <w:p>
      <w:r>
        <w:t>统一组合口径：T 日收盘完成评分与选股，T+1 日开盘按当时可交易价格执行；旧组合承担隔夜收益，新组合只取得开盘后的收益。保留不扣成本的无本金等权毛指数，并新增按换手扣除单边 0.03% 交易成本的净指数。股票池、历史长度、流动性和因子覆盖率过滤规则保持不变。</w:t>
      </w:r>
    </w:p>
    <w:p>
      <w:pPr>
        <w:pStyle w:val="Heading1"/>
      </w:pPr>
      <w:r>
        <w:t>一、页面统一组合公式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</w:rPr>
              <w:t>环节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</w:rPr>
              <w:t>统一规则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高分腿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按评分从高到低选前 20%，最多 200 只。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低分腿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按评分从低到高选后 20%，最多 200 只；它是独立多头组合，不是融券空头。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组合权重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入选股票等权：目标权重 = 1 / 入选股票数；非调仓日权重随收益自然漂移。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生效时点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 日收盘形成评分与目标组合；T+1 开盘执行。旧组合承担 T 收盘至 T+1 开盘的隔夜收益，新组合承担 T+1 开盘至收盘的日内收益。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毛指数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使用后复权开盘价和收盘价计算无本金等权理论指数，不扣交易成本。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净指数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净指数 = 前一日净指数 × (1+旧组合隔夜收益) × (1-成本比例) × (1+新组合日内收益)。</w:t>
            </w:r>
          </w:p>
        </w:tc>
      </w:tr>
      <w:tr>
        <w:tc>
          <w:tcPr>
            <w:tcW w:type="dxa" w:w="1800"/>
          </w:tcPr>
          <w:p>
            <w:r>
              <w:t>换手与成本</w:t>
            </w:r>
          </w:p>
        </w:tc>
        <w:tc>
          <w:tcPr>
            <w:tcW w:type="dxa" w:w="7560"/>
          </w:tcPr>
          <w:p>
            <w:r>
              <w:t>换手率 = Σ|执行后权重-开盘前权重|；成本比例 = min(1, 换手率×0.03%)。首次建仓换手为 1，完全换股为 2。</w:t>
            </w:r>
          </w:p>
        </w:tc>
      </w:tr>
      <w:tr>
        <w:tc>
          <w:tcPr>
            <w:tcW w:type="dxa" w:w="1800"/>
          </w:tcPr>
          <w:p>
            <w:r>
              <w:t>相对曲线</w:t>
            </w:r>
          </w:p>
        </w:tc>
        <w:tc>
          <w:tcPr>
            <w:tcW w:type="dxa" w:w="7560"/>
          </w:tcPr>
          <w:p>
            <w:r>
              <w:t>毛相对指数 = 高分腿毛指数/低分腿毛指数×100；净相对指数同理使用两条净指数。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</w:rPr>
        <w:t>重要解释：模型评分是股票截面上的选股信号；页面曲线是由高分/低分股票组合产生的风格表现。两者不是同一个层次。</w:t>
      </w:r>
    </w:p>
    <w:p>
      <w:pPr>
        <w:pStyle w:val="Heading1"/>
      </w:pPr>
      <w:r>
        <w:t>二、12 个模型的因子与公式</w:t>
      </w:r>
    </w:p>
    <w:p>
      <w:pPr>
        <w:pStyle w:val="Heading2"/>
      </w:pPr>
      <w:r>
        <w:t>1. 大市值原始版</w:t>
      </w:r>
    </w:p>
    <w:p>
      <w:r>
        <w:rPr>
          <w:rFonts w:ascii="Calibri" w:hAnsi="Calibri" w:eastAsia="Microsoft YaHei"/>
        </w:rPr>
        <w:t>因子键：large_cap_style_score_pure；调仓：每周。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</w:rPr>
              <w:t>因子/输入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</w:rPr>
              <w:t>构成与方向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ln_自由流通市值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唯一输入；自由流通市值取自然对数，仅用于保留规模因子的输入语义。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大市值风格评分（纯市值）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当日截面平均排名；分数越高表示越偏大市值。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  <w:b/>
        </w:rPr>
        <w:t>构成公式：</w:t>
      </w:r>
      <w:r>
        <w:rPr>
          <w:rFonts w:ascii="Calibri" w:hAnsi="Calibri" w:eastAsia="Microsoft YaHei"/>
        </w:rPr>
        <w:t>大市值分 = (平均名次 - 0.5) / N × 100</w:t>
      </w:r>
    </w:p>
    <w:p>
      <w:r>
        <w:rPr>
          <w:rFonts w:ascii="Calibri" w:hAnsi="Calibri" w:eastAsia="Microsoft YaHei"/>
          <w:b/>
        </w:rPr>
        <w:t>计算方式：</w:t>
      </w:r>
      <w:r>
        <w:rPr>
          <w:rFonts w:ascii="Calibri" w:hAnsi="Calibri" w:eastAsia="Microsoft YaHei"/>
        </w:rPr>
        <w:t>每日对完整沪深股票截面排名；高分腿选大市值，高分越大越靠前。</w:t>
      </w:r>
    </w:p>
    <w:p>
      <w:r>
        <w:rPr>
          <w:rFonts w:ascii="Calibri" w:hAnsi="Calibri" w:eastAsia="Microsoft YaHei"/>
          <w:b/>
        </w:rPr>
        <w:t>边界与注意：</w:t>
      </w:r>
      <w:r>
        <w:rPr>
          <w:rFonts w:ascii="Calibri" w:hAnsi="Calibri" w:eastAsia="Microsoft YaHei"/>
        </w:rPr>
        <w:t>当日有效股票少于 100 只时不生成评分；不混入成交额、换手率或其他因子。</w:t>
      </w:r>
    </w:p>
    <w:p>
      <w:pPr>
        <w:pStyle w:val="Heading2"/>
      </w:pPr>
      <w:r>
        <w:t>2. 小市值原始版</w:t>
      </w:r>
    </w:p>
    <w:p>
      <w:r>
        <w:rPr>
          <w:rFonts w:ascii="Calibri" w:hAnsi="Calibri" w:eastAsia="Microsoft YaHei"/>
        </w:rPr>
        <w:t>因子键：small_cap_style_score_pure；调仓：每周。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</w:rPr>
              <w:t>因子/输入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</w:rPr>
              <w:t>构成与方向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ln_自由流通市值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与大市值模型相同的唯一输入。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小市值风格评分（纯市值）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大市值评分的互补方向；分数越高表示越偏小市值。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  <w:b/>
        </w:rPr>
        <w:t>构成公式：</w:t>
      </w:r>
      <w:r>
        <w:rPr>
          <w:rFonts w:ascii="Calibri" w:hAnsi="Calibri" w:eastAsia="Microsoft YaHei"/>
        </w:rPr>
        <w:t>小市值分 = 100 - 大市值分</w:t>
      </w:r>
    </w:p>
    <w:p>
      <w:r>
        <w:rPr>
          <w:rFonts w:ascii="Calibri" w:hAnsi="Calibri" w:eastAsia="Microsoft YaHei"/>
          <w:b/>
        </w:rPr>
        <w:t>计算方式：</w:t>
      </w:r>
      <w:r>
        <w:rPr>
          <w:rFonts w:ascii="Calibri" w:hAnsi="Calibri" w:eastAsia="Microsoft YaHei"/>
        </w:rPr>
        <w:t>同一完整截面中按市值排名；高分腿选小市值，低分腿相当于大市值方向。</w:t>
      </w:r>
    </w:p>
    <w:p>
      <w:r>
        <w:rPr>
          <w:rFonts w:ascii="Calibri" w:hAnsi="Calibri" w:eastAsia="Microsoft YaHei"/>
          <w:b/>
        </w:rPr>
        <w:t>边界与注意：</w:t>
      </w:r>
      <w:r>
        <w:rPr>
          <w:rFonts w:ascii="Calibri" w:hAnsi="Calibri" w:eastAsia="Microsoft YaHei"/>
        </w:rPr>
        <w:t>大市值分 + 小市值分 = 100；不单独加入其他风险或流动性过滤。</w:t>
      </w:r>
    </w:p>
    <w:p>
      <w:pPr>
        <w:pStyle w:val="Heading2"/>
      </w:pPr>
      <w:r>
        <w:t>3. 价值原始版</w:t>
      </w:r>
    </w:p>
    <w:p>
      <w:r>
        <w:rPr>
          <w:rFonts w:ascii="Calibri" w:hAnsi="Calibri" w:eastAsia="Microsoft YaHei"/>
        </w:rPr>
        <w:t>因子键：value_model_composite_score；调仓：每月。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</w:rPr>
              <w:t>因子/输入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</w:rPr>
              <w:t>构成与方向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EY、BM、SY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盈利收益率、账面市值比、销售收益率；各权重 1/6，越高越具价值。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OCFY、FCFY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经营现金流收益率、自由现金流收益率；各权重 0.15。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净现金市值比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净现金/市值百分位；权重 0.20。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  <w:b/>
        </w:rPr>
        <w:t>构成公式：</w:t>
      </w:r>
      <w:r>
        <w:rPr>
          <w:rFonts w:ascii="Calibri" w:hAnsi="Calibri" w:eastAsia="Microsoft YaHei"/>
        </w:rPr>
        <w:t>基础分 = Σ(有效百分位×权重)/Σ有效权重×100；最终分 = 基础分 - 基础分×0.50×(1-完整权重)</w:t>
      </w:r>
    </w:p>
    <w:p>
      <w:r>
        <w:rPr>
          <w:rFonts w:ascii="Calibri" w:hAnsi="Calibri" w:eastAsia="Microsoft YaHei"/>
          <w:b/>
        </w:rPr>
        <w:t>计算方式：</w:t>
      </w:r>
      <w:r>
        <w:rPr>
          <w:rFonts w:ascii="Calibri" w:hAnsi="Calibri" w:eastAsia="Microsoft YaHei"/>
        </w:rPr>
        <w:t>先对六个价值因子做每日截面百分位，再按权重合成；至少 4 项有效才评分。</w:t>
      </w:r>
    </w:p>
    <w:p>
      <w:r>
        <w:rPr>
          <w:rFonts w:ascii="Calibri" w:hAnsi="Calibri" w:eastAsia="Microsoft YaHei"/>
          <w:b/>
        </w:rPr>
        <w:t>边界与注意：</w:t>
      </w:r>
      <w:r>
        <w:rPr>
          <w:rFonts w:ascii="Calibri" w:hAnsi="Calibri" w:eastAsia="Microsoft YaHei"/>
        </w:rPr>
        <w:t>输入百分位范围为 0 至 1；缺失权重越高，缺失扣分越多；最终限制在 0 至 100。</w:t>
      </w:r>
    </w:p>
    <w:p>
      <w:pPr>
        <w:pStyle w:val="Heading2"/>
      </w:pPr>
      <w:r>
        <w:t>4. 价值行业中性版</w:t>
      </w:r>
    </w:p>
    <w:p>
      <w:r>
        <w:rPr>
          <w:rFonts w:ascii="Calibri" w:hAnsi="Calibri" w:eastAsia="Microsoft YaHei"/>
        </w:rPr>
        <w:t>因子键：value_model_composite_score_industry_normalized；调仓：每月。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</w:rPr>
              <w:t>因子/输入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</w:rPr>
              <w:t>构成与方向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六个价值因子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EY、BM、SY、OCFY、FCFY、净现金市值比；沿用价值原始版权重。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同花顺 881 行业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每个交易日使用不晚于当日的最近行业快照，在行业内分别排名。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  <w:b/>
        </w:rPr>
        <w:t>构成公式：</w:t>
      </w:r>
      <w:r>
        <w:rPr>
          <w:rFonts w:ascii="Calibri" w:hAnsi="Calibri" w:eastAsia="Microsoft YaHei"/>
        </w:rPr>
        <w:t>行业内价值合成分 → 再在 881 行业内排名为 0-100 → 沿用 50% 缺失权重惩罚</w:t>
      </w:r>
    </w:p>
    <w:p>
      <w:r>
        <w:rPr>
          <w:rFonts w:ascii="Calibri" w:hAnsi="Calibri" w:eastAsia="Microsoft YaHei"/>
          <w:b/>
        </w:rPr>
        <w:t>计算方式：</w:t>
      </w:r>
      <w:r>
        <w:rPr>
          <w:rFonts w:ascii="Calibri" w:hAnsi="Calibri" w:eastAsia="Microsoft YaHei"/>
        </w:rPr>
        <w:t>先行业内标准化，再合成价值分；目的是减少行业估值水平差异对排名的影响。</w:t>
      </w:r>
    </w:p>
    <w:p>
      <w:r>
        <w:rPr>
          <w:rFonts w:ascii="Calibri" w:hAnsi="Calibri" w:eastAsia="Microsoft YaHei"/>
          <w:b/>
        </w:rPr>
        <w:t>边界与注意：</w:t>
      </w:r>
      <w:r>
        <w:rPr>
          <w:rFonts w:ascii="Calibri" w:hAnsi="Calibri" w:eastAsia="Microsoft YaHei"/>
        </w:rPr>
        <w:t>行业映射冲突直接报错；早于首个行业快照日期不生成；至少 3 只股票的行业子因子才有效。</w:t>
      </w:r>
    </w:p>
    <w:p>
      <w:pPr>
        <w:pStyle w:val="Heading2"/>
      </w:pPr>
      <w:r>
        <w:t>5. 成长原始版</w:t>
      </w:r>
    </w:p>
    <w:p>
      <w:r>
        <w:rPr>
          <w:rFonts w:ascii="Calibri" w:hAnsi="Calibri" w:eastAsia="Microsoft YaHei"/>
        </w:rPr>
        <w:t>因子键：growth_style_score；调仓：每月。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</w:rPr>
              <w:t>因子/输入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</w:rPr>
              <w:t>构成与方向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成长规模分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营业收入同比、收入 3 年 CAGR、营业利润同比；支柱权重 30%。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成长盈利分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扣非净利润同比、EPS 同比、经营现金流同比；支柱权重 35%。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成长质量分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利润增速变化、收入增速变化、ROE 变化、毛利率变化；支柱权重 25%。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成长研发分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研发费用同比增速、研发费用率；支柱权重 10%。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  <w:b/>
        </w:rPr>
        <w:t>构成公式：</w:t>
      </w:r>
      <w:r>
        <w:rPr>
          <w:rFonts w:ascii="Calibri" w:hAnsi="Calibri" w:eastAsia="Microsoft YaHei"/>
        </w:rPr>
        <w:t>各原始因子截面排名并转逆正态标准分 → 支柱内等权 → 30%/35%/25%/10% 加权 → 截面百分位×100 - 缺失扣分</w:t>
      </w:r>
    </w:p>
    <w:p>
      <w:r>
        <w:rPr>
          <w:rFonts w:ascii="Calibri" w:hAnsi="Calibri" w:eastAsia="Microsoft YaHei"/>
          <w:b/>
        </w:rPr>
        <w:t>计算方式：</w:t>
      </w:r>
      <w:r>
        <w:rPr>
          <w:rFonts w:ascii="Calibri" w:hAnsi="Calibri" w:eastAsia="Microsoft YaHei"/>
        </w:rPr>
        <w:t>先分别标准化 12 个成长因子，再形成四个支柱；数据完整度低于 40% 不评分，缺失惩罚率为 50%。</w:t>
      </w:r>
    </w:p>
    <w:p>
      <w:r>
        <w:rPr>
          <w:rFonts w:ascii="Calibri" w:hAnsi="Calibri" w:eastAsia="Microsoft YaHei"/>
          <w:b/>
        </w:rPr>
        <w:t>边界与注意：</w:t>
      </w:r>
      <w:r>
        <w:rPr>
          <w:rFonts w:ascii="Calibri" w:hAnsi="Calibri" w:eastAsia="Microsoft YaHei"/>
        </w:rPr>
        <w:t>最终分限制在 0 至 100；缺失与数值表现差分开处理，不用 0 填充缺失。</w:t>
      </w:r>
    </w:p>
    <w:p>
      <w:pPr>
        <w:pStyle w:val="Heading2"/>
      </w:pPr>
      <w:r>
        <w:t>6. 成长行业中性版</w:t>
      </w:r>
    </w:p>
    <w:p>
      <w:r>
        <w:rPr>
          <w:rFonts w:ascii="Calibri" w:hAnsi="Calibri" w:eastAsia="Microsoft YaHei"/>
        </w:rPr>
        <w:t>因子键：growth_style_composite_score_industry_normalized；调仓：每月。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</w:rPr>
              <w:t>因子/输入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</w:rPr>
              <w:t>构成与方向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12 个成长原始因子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与成长原始版相同，仍按四个支柱合成。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同花顺 881 行业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所有子因子先在行业内做平均名次百分位和逆正态标准分。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  <w:b/>
        </w:rPr>
        <w:t>构成公式：</w:t>
      </w:r>
      <w:r>
        <w:rPr>
          <w:rFonts w:ascii="Calibri" w:hAnsi="Calibri" w:eastAsia="Microsoft YaHei"/>
        </w:rPr>
        <w:t>行业内标准化 → 四支柱按 30%/35%/25%/10% 合成 → 行业内再排名为 0-100 → 50% 缺失惩罚</w:t>
      </w:r>
    </w:p>
    <w:p>
      <w:r>
        <w:rPr>
          <w:rFonts w:ascii="Calibri" w:hAnsi="Calibri" w:eastAsia="Microsoft YaHei"/>
          <w:b/>
        </w:rPr>
        <w:t>计算方式：</w:t>
      </w:r>
      <w:r>
        <w:rPr>
          <w:rFonts w:ascii="Calibri" w:hAnsi="Calibri" w:eastAsia="Microsoft YaHei"/>
        </w:rPr>
        <w:t>把行业暴露先压平，再比较同一行业中的成长质量；每个行业子因子有效股票少于 3 只则为空。</w:t>
      </w:r>
    </w:p>
    <w:p>
      <w:r>
        <w:rPr>
          <w:rFonts w:ascii="Calibri" w:hAnsi="Calibri" w:eastAsia="Microsoft YaHei"/>
          <w:b/>
        </w:rPr>
        <w:t>边界与注意：</w:t>
      </w:r>
      <w:r>
        <w:rPr>
          <w:rFonts w:ascii="Calibri" w:hAnsi="Calibri" w:eastAsia="Microsoft YaHei"/>
        </w:rPr>
        <w:t>使用不晚于评分日的最近行业快照；早于首个快照日期不生成。</w:t>
      </w:r>
    </w:p>
    <w:p>
      <w:pPr>
        <w:pStyle w:val="Heading2"/>
      </w:pPr>
      <w:r>
        <w:t>7. 动量原始版</w:t>
      </w:r>
    </w:p>
    <w:p>
      <w:r>
        <w:rPr>
          <w:rFonts w:ascii="Calibri" w:hAnsi="Calibri" w:eastAsia="Microsoft YaHei"/>
        </w:rPr>
        <w:t>因子键：momentum_style_score；调仓：每周。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</w:rPr>
              <w:t>因子/输入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</w:rPr>
              <w:t>构成与方向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12-1 月动量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pure_momentum_252d = C[t-20] / C[t-252] - 1；权重 70%。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6-1 月动量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pure_momentum = C[t-20] / C[t-120] - 1；权重 30%。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  <w:b/>
        </w:rPr>
        <w:t>构成公式：</w:t>
      </w:r>
      <w:r>
        <w:rPr>
          <w:rFonts w:ascii="Calibri" w:hAnsi="Calibri" w:eastAsia="Microsoft YaHei"/>
        </w:rPr>
        <w:t>动量分 = 0.70×PCT(12-1 月动量)×100 + 0.30×PCT(6-1 月动量)×100</w:t>
      </w:r>
    </w:p>
    <w:p>
      <w:r>
        <w:rPr>
          <w:rFonts w:ascii="Calibri" w:hAnsi="Calibri" w:eastAsia="Microsoft YaHei"/>
          <w:b/>
        </w:rPr>
        <w:t>计算方式：</w:t>
      </w:r>
      <w:r>
        <w:rPr>
          <w:rFonts w:ascii="Calibri" w:hAnsi="Calibri" w:eastAsia="Microsoft YaHei"/>
        </w:rPr>
        <w:t>两个周期分别做股票截面百分位后再加权，不直接加权原始收益率；跳过最近 20 个交易日。</w:t>
      </w:r>
    </w:p>
    <w:p>
      <w:r>
        <w:rPr>
          <w:rFonts w:ascii="Calibri" w:hAnsi="Calibri" w:eastAsia="Microsoft YaHei"/>
          <w:b/>
        </w:rPr>
        <w:t>边界与注意：</w:t>
      </w:r>
      <w:r>
        <w:rPr>
          <w:rFonts w:ascii="Calibri" w:hAnsi="Calibri" w:eastAsia="Microsoft YaHei"/>
        </w:rPr>
        <w:t>需要至少 253 个有效历史交易日；两个输入必须同时有效；不加入波动率、流动性或均线过滤。</w:t>
      </w:r>
    </w:p>
    <w:p>
      <w:pPr>
        <w:pStyle w:val="Heading2"/>
      </w:pPr>
      <w:r>
        <w:t>8. 5 日动量原始版</w:t>
      </w:r>
    </w:p>
    <w:p>
      <w:r>
        <w:t>因子键：stock_momentum_5d；落盘目录：factor=股票5日动量；调仓：每周。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</w:rPr>
              <w:t>因子/输入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</w:rPr>
              <w:t>构成与方向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5 日动量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stock_momentum_5d = C_adj[t] / C_adj[t-5] - 1；越高表示近 5 个交易日价格动量越强。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  <w:b/>
        </w:rPr>
        <w:t>构成公式：</w:t>
      </w:r>
      <w:r>
        <w:rPr>
          <w:rFonts w:ascii="Calibri" w:hAnsi="Calibri" w:eastAsia="Microsoft YaHei"/>
        </w:rPr>
        <w:t>股票5日动量 = 当日后复权收盘价 / 5 个交易日前后复权收盘价 - 1</w:t>
      </w:r>
    </w:p>
    <w:p>
      <w:r>
        <w:rPr>
          <w:rFonts w:ascii="Calibri" w:hAnsi="Calibri" w:eastAsia="Microsoft YaHei"/>
          <w:b/>
        </w:rPr>
        <w:t>计算方式：</w:t>
      </w:r>
      <w:r>
        <w:rPr>
          <w:rFonts w:ascii="Calibri" w:hAnsi="Calibri" w:eastAsia="Microsoft YaHei"/>
        </w:rPr>
        <w:t>直接使用 5 日收益率进行截面排序；高分腿表示超短期强势，低分腿表示超短期弱势。</w:t>
      </w:r>
    </w:p>
    <w:p>
      <w:r>
        <w:rPr>
          <w:rFonts w:ascii="Calibri" w:hAnsi="Calibri" w:eastAsia="Microsoft YaHei"/>
          <w:b/>
        </w:rPr>
        <w:t>边界与注意：</w:t>
      </w:r>
      <w:r>
        <w:rPr>
          <w:rFonts w:ascii="Calibri" w:hAnsi="Calibri" w:eastAsia="Microsoft YaHei"/>
        </w:rPr>
        <w:t>短周期信号对换手和交易成本更敏感，应同时观察毛曲线与净曲线；它不等同于 6-1 月/12-1 月动量综合分。</w:t>
      </w:r>
    </w:p>
    <w:p>
      <w:pPr>
        <w:pStyle w:val="Heading2"/>
      </w:pPr>
      <w:r>
        <w:t>9. 20 日动量原始版</w:t>
      </w:r>
    </w:p>
    <w:p>
      <w:r>
        <w:rPr>
          <w:rFonts w:ascii="Calibri" w:hAnsi="Calibri" w:eastAsia="Microsoft YaHei"/>
        </w:rPr>
        <w:t>因子键：stock_momentum_20d；落盘目录：factor=股票20日动量；调仓：每周。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</w:rPr>
              <w:t>因子/输入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</w:rPr>
              <w:t>构成与方向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20 日动量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stock_momentum_20d = C_adj[t] / C_adj[t-20] - 1；越高表示近 20 个交易日价格动量越强。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  <w:b/>
        </w:rPr>
        <w:t>构成公式：</w:t>
      </w:r>
      <w:r>
        <w:rPr>
          <w:rFonts w:ascii="Calibri" w:hAnsi="Calibri" w:eastAsia="Microsoft YaHei"/>
        </w:rPr>
        <w:t>股票20日动量 = 当日后复权收盘价 / 20 个交易日前后复权收盘价 - 1</w:t>
      </w:r>
    </w:p>
    <w:p>
      <w:r>
        <w:rPr>
          <w:rFonts w:ascii="Calibri" w:hAnsi="Calibri" w:eastAsia="Microsoft YaHei"/>
          <w:b/>
        </w:rPr>
        <w:t>计算方式：</w:t>
      </w:r>
      <w:r>
        <w:rPr>
          <w:rFonts w:ascii="Calibri" w:hAnsi="Calibri" w:eastAsia="Microsoft YaHei"/>
        </w:rPr>
        <w:t>直接使用 20 日收益率进行截面排序；高分腿表示近期强势，低分腿表示近期弱势。</w:t>
      </w:r>
    </w:p>
    <w:p>
      <w:r>
        <w:rPr>
          <w:rFonts w:ascii="Calibri" w:hAnsi="Calibri" w:eastAsia="Microsoft YaHei"/>
          <w:b/>
        </w:rPr>
        <w:t>边界与注意：</w:t>
      </w:r>
      <w:r>
        <w:rPr>
          <w:rFonts w:ascii="Calibri" w:hAnsi="Calibri" w:eastAsia="Microsoft YaHei"/>
        </w:rPr>
        <w:t>这是页面配置中的短周期动量模型，不等同于 6-1 月/12-1 月动量综合分。</w:t>
      </w:r>
    </w:p>
    <w:p>
      <w:pPr>
        <w:pStyle w:val="Heading2"/>
      </w:pPr>
      <w:r>
        <w:t>10. 低波原始版</w:t>
      </w:r>
    </w:p>
    <w:p>
      <w:r>
        <w:rPr>
          <w:rFonts w:ascii="Calibri" w:hAnsi="Calibri" w:eastAsia="Microsoft YaHei"/>
        </w:rPr>
        <w:t>因子键：low_volatility_style_score；调仓：每月。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</w:rPr>
              <w:t>因子/输入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</w:rPr>
              <w:t>构成与方向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常规波动率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20 日/60 日/252 日年化波动率，维度权重 25%；内部权重 20%/50%/30%。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下行波动率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20 日/60 日下行波动率，维度权重 25%；内部权重 30%/70%。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回撤风险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60 日最大回撤取绝对值后反向排名，维度权重 25%。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日内波动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14 日 ATR 波动率反向排名，维度权重 25%。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  <w:b/>
        </w:rPr>
        <w:t>构成公式：</w:t>
      </w:r>
      <w:r>
        <w:rPr>
          <w:rFonts w:ascii="Calibri" w:hAnsi="Calibri" w:eastAsia="Microsoft YaHei"/>
        </w:rPr>
        <w:t>单项低波分 = (N-风险指标平均名次+0.5)/N×100；四个维度等权合成</w:t>
      </w:r>
    </w:p>
    <w:p>
      <w:r>
        <w:rPr>
          <w:rFonts w:ascii="Calibri" w:hAnsi="Calibri" w:eastAsia="Microsoft YaHei"/>
          <w:b/>
        </w:rPr>
        <w:t>计算方式：</w:t>
      </w:r>
      <w:r>
        <w:rPr>
          <w:rFonts w:ascii="Calibri" w:hAnsi="Calibri" w:eastAsia="Microsoft YaHei"/>
        </w:rPr>
        <w:t>所有七项输入必须同时有效；风险越低，反向排名分越高。</w:t>
      </w:r>
    </w:p>
    <w:p>
      <w:r>
        <w:rPr>
          <w:rFonts w:ascii="Calibri" w:hAnsi="Calibri" w:eastAsia="Microsoft YaHei"/>
          <w:b/>
        </w:rPr>
        <w:t>边界与注意：</w:t>
      </w:r>
      <w:r>
        <w:rPr>
          <w:rFonts w:ascii="Calibri" w:hAnsi="Calibri" w:eastAsia="Microsoft YaHei"/>
        </w:rPr>
        <w:t>最大回撤先转为绝对风险幅度；20/60 日波动率比仅作观察，不进入综合分；完整股票少于 100 只则为空。</w:t>
      </w:r>
    </w:p>
    <w:p>
      <w:pPr>
        <w:pStyle w:val="Heading2"/>
      </w:pPr>
      <w:r>
        <w:t>11. 红利原始版</w:t>
      </w:r>
    </w:p>
    <w:p>
      <w:r>
        <w:rPr>
          <w:rFonts w:ascii="Calibri" w:hAnsi="Calibri" w:eastAsia="Microsoft YaHei"/>
        </w:rPr>
        <w:t>因子键：dividend_base_percentile；调仓：每季度。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</w:rPr>
              <w:t>因子/输入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</w:rPr>
              <w:t>构成与方向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已实施股息率_TTM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权重 35%，越高越好；由近 365 日已实施现金分红/当前价格得到。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有分红年度占比_近5年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权重 25%，衡量分红连续性。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连续分红年数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权重 20%，越高越好。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每股分红三年复合增长率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权重 15%，越高越好。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分红削减次数_近5年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权重 -5%，次数越多越差。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  <w:b/>
        </w:rPr>
        <w:t>构成公式：</w:t>
      </w:r>
      <w:r>
        <w:rPr>
          <w:rFonts w:ascii="Calibri" w:hAnsi="Calibri" w:eastAsia="Microsoft YaHei"/>
        </w:rPr>
        <w:t>各原始因子截面逆正态标准化 → 按 35%/25%/20%/15%/-5% 合成 → 综合分再截面百分位×100</w:t>
      </w:r>
    </w:p>
    <w:p>
      <w:r>
        <w:rPr>
          <w:rFonts w:ascii="Calibri" w:hAnsi="Calibri" w:eastAsia="Microsoft YaHei"/>
          <w:b/>
        </w:rPr>
        <w:t>计算方式：</w:t>
      </w:r>
      <w:r>
        <w:rPr>
          <w:rFonts w:ascii="Calibri" w:hAnsi="Calibri" w:eastAsia="Microsoft YaHei"/>
        </w:rPr>
        <w:t>至少 3 个输入有效且股息率有效；正权重表示越高越好，负权重表示越高越差。</w:t>
      </w:r>
    </w:p>
    <w:p>
      <w:r>
        <w:rPr>
          <w:rFonts w:ascii="Calibri" w:hAnsi="Calibri" w:eastAsia="Microsoft YaHei"/>
          <w:b/>
        </w:rPr>
        <w:t>边界与注意：</w:t>
      </w:r>
      <w:r>
        <w:rPr>
          <w:rFonts w:ascii="Calibri" w:hAnsi="Calibri" w:eastAsia="Microsoft YaHei"/>
        </w:rPr>
        <w:t>分红事件使用已实施日期；不把未实施公告当作已实现现金分红；红利页面模型使用基础百分位而非原始金额。</w:t>
      </w:r>
    </w:p>
    <w:p>
      <w:pPr>
        <w:pStyle w:val="Heading2"/>
      </w:pPr>
      <w:r>
        <w:t>12. 流动性原始版</w:t>
      </w:r>
    </w:p>
    <w:p>
      <w:r>
        <w:rPr>
          <w:rFonts w:ascii="Calibri" w:hAnsi="Calibri" w:eastAsia="Microsoft YaHei"/>
        </w:rPr>
        <w:t>因子键：liquidity_composite_score；调仓：每周。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</w:rPr>
              <w:t>因子/输入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</w:rPr>
              <w:t>构成与方向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成交规模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20 日/60 日平均成交额百分位均值；维度权重 35%。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价格冲击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100 - 20 日 Amihud 非流动性百分位；权重 30%。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换手活跃度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20 日/60 日平均换手率百分位，95 分位封顶后均值；权重 20%。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交易连续稳定性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100 - 成交额波动率百分位与 100 - 零成交额占比百分位的均值；权重 15%。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  <w:b/>
        </w:rPr>
        <w:t>构成公式：</w:t>
      </w:r>
      <w:r>
        <w:rPr>
          <w:rFonts w:ascii="Calibri" w:hAnsi="Calibri" w:eastAsia="Microsoft YaHei"/>
        </w:rPr>
        <w:t>流动性分 = 35%×成交规模分 + 30%×价格冲击分 + 20%×换手活跃度分 + 15%×交易连续稳定性分</w:t>
      </w:r>
    </w:p>
    <w:p>
      <w:r>
        <w:rPr>
          <w:rFonts w:ascii="Calibri" w:hAnsi="Calibri" w:eastAsia="Microsoft YaHei"/>
          <w:b/>
        </w:rPr>
        <w:t>计算方式：</w:t>
      </w:r>
      <w:r>
        <w:rPr>
          <w:rFonts w:ascii="Calibri" w:hAnsi="Calibri" w:eastAsia="Microsoft YaHei"/>
        </w:rPr>
        <w:t>每日对各输入做截面百分位；成交额越高、Amihud 越低、零成交越少，评分越高。非必需维度缺失时按有效维度权重重新归一。</w:t>
      </w:r>
    </w:p>
    <w:p>
      <w:r>
        <w:rPr>
          <w:rFonts w:ascii="Calibri" w:hAnsi="Calibri" w:eastAsia="Microsoft YaHei"/>
          <w:b/>
        </w:rPr>
        <w:t>边界与注意：</w:t>
      </w:r>
      <w:r>
        <w:rPr>
          <w:rFonts w:ascii="Calibri" w:hAnsi="Calibri" w:eastAsia="Microsoft YaHei"/>
        </w:rPr>
        <w:t>成交规模和价格冲击是必需维度；当日有效股票少于 100 只不生成；不做行业或市值中性化。</w:t>
      </w:r>
    </w:p>
    <w:p>
      <w:pPr>
        <w:pStyle w:val="Heading1"/>
      </w:pPr>
      <w:r>
        <w:t>三、读图与使用建议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先看相对曲线：高分腿相对低分腿上行，说明该因子的高分方向正在占优；下行则说明低分方向更强。</w:t>
      </w:r>
    </w:p>
    <w:p>
      <w:pPr>
        <w:pStyle w:val="ListBullet"/>
        <w:spacing w:after="80"/>
      </w:pPr>
      <w:r>
        <w:t>再分别看高分腿和低分腿的毛指数、净指数：相对曲线向上但两条腿都下跌，表示只是相对抗跌，不代表绝对收益为正；毛净差扩大则说明换手成本正在显著侵蚀结果。</w:t>
      </w:r>
    </w:p>
    <w:p>
      <w:pPr>
        <w:pStyle w:val="ListBullet"/>
        <w:spacing w:after="80"/>
      </w:pPr>
      <w:r>
        <w:t>模型之间不要只比较曲线高低，还要比较调仓频率、覆盖率、换手率、毛净差和可交易股票数量。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行业中性版回答的是“行业内部谁更强”，原始版回答的是“全市场谁更符合该风格”；二者不可简单视为同一模型的重复版本。</w:t>
      </w:r>
    </w:p>
    <w:p>
      <w:pPr>
        <w:pStyle w:val="ListBullet"/>
        <w:spacing w:after="80"/>
      </w:pPr>
      <w:r>
        <w:t>净指数只模拟按换手扣除的统一交易成本，不模拟现金、股数、滑点、冲击成本、税费差异和订单撮合；开盘不可交易的旧持仓保留、不可交易的新标的不买入，因此仍不能直接等同实盘收益。</w:t>
      </w:r>
    </w:p>
    <w:p>
      <w:pPr>
        <w:pStyle w:val="Heading1"/>
      </w:pPr>
      <w:r>
        <w:t>四、核对来源</w:t>
      </w:r>
    </w:p>
    <w:p>
      <w:r>
        <w:rPr>
          <w:rFonts w:ascii="Calibri" w:hAnsi="Calibri" w:eastAsia="Microsoft YaHei"/>
        </w:rPr>
        <w:t>主要来源文件：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可视化/模型有效性/index.html；可视化/模型有效性/model_validity.js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backtrader/models/style_portfolio_monitor/config.py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backtrader/models/style_portfolio_monitor/portfolio.py、equal_weight_index.py、equal_weight_service.py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docs/superpowers/specs/2026-08-05-pure-size-style-score-design.md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docs/superpowers/specs/2026-08-05-value-model-composite-score-design.md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docs/superpowers/specs/2026-08-05-ths881-growth-value-industry-neutral-design.md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docs/superpowers/specs/2026-08-05-stock-momentum-style-score-design.md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docs/superpowers/specs/2026-08-05-low-volatility-style-score-design.md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docs/superpowers/specs/2026-08-05-liquidity-composite-score-design.md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ZXW因子/股票红利原始因子.py、股票红利标准化因子.py、板块动量策略常用因子.py、生成5日动量因子.py、生成20日动量因子.py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787878"/>
        <w:sz w:val="16"/>
      </w:rPr>
      <w:t>模型有效性因子说明 | 当前代码口径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模型有效性页面：模型因子与构成公式说明</dc:title>
  <dc:subject>模型有效性页面 11 个风格模型的因子、公式和组合方式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