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Microsoft YaHei"/>
          <w:b/>
          <w:color w:val="0B2545"/>
          <w:sz w:val="40"/>
        </w:rPr>
        <w:t>波峰波谷 V2 因子公式速查</w:t>
      </w:r>
    </w:p>
    <w:p>
      <w:pPr>
        <w:spacing w:after="160" w:line="276" w:lineRule="auto"/>
      </w:pPr>
      <w:r>
        <w:rPr>
          <w:rFonts w:ascii="Calibri" w:hAnsi="Calibri" w:eastAsia="Microsoft YaHei"/>
          <w:b w:val="0"/>
          <w:color w:val="555555"/>
          <w:sz w:val="19"/>
        </w:rPr>
        <w:t>用途：忘记公式时逐列回忆。V2 为离线事后标注，分数含未来信息，不是实时概率。</w:t>
      </w:r>
    </w:p>
    <w:p>
      <w:pPr>
        <w:pStyle w:val="Heading1"/>
      </w:pPr>
      <w:r>
        <w:t>一、统一参数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参数</w:t>
            </w:r>
          </w:p>
        </w:tc>
        <w:tc>
          <w:tcPr>
            <w:tcW w:type="dxa" w:w="676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值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局部窗口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3、5、10、20、40、60 根 K 线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未来窗口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5、10、20、40 根 K 线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ATR 周期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反转障碍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1.0 × 事件日 ATR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趋势 EMA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EMA5、EMA20；斜率回看 5 根</w:t>
            </w:r>
          </w:p>
        </w:tc>
      </w:tr>
      <w:tr>
        <w:tc>
          <w:tcPr>
            <w:tcW w:type="dxa" w:w="26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几何平滑</w:t>
            </w:r>
          </w:p>
        </w:tc>
        <w:tc>
          <w:tcPr>
            <w:tcW w:type="dxa" w:w="676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epsilon = 0.02</w:t>
            </w:r>
          </w:p>
        </w:tc>
      </w:tr>
    </w:tbl>
    <w:p>
      <w:pPr>
        <w:spacing w:after="20"/>
      </w:pPr>
    </w:p>
    <w:p>
      <w:pPr>
        <w:pStyle w:val="Heading1"/>
      </w:pPr>
      <w:r>
        <w:t>二、V2 因子列逐项说明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750"/>
        <w:gridCol w:w="3100"/>
        <w:gridCol w:w="2010"/>
      </w:tblGrid>
      <w:tr>
        <w:tc>
          <w:tcPr>
            <w:tcW w:type="dxa" w:w="25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字段名</w:t>
            </w:r>
          </w:p>
        </w:tc>
        <w:tc>
          <w:tcPr>
            <w:tcW w:type="dxa" w:w="175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中文名</w:t>
            </w:r>
          </w:p>
        </w:tc>
        <w:tc>
          <w:tcPr>
            <w:tcW w:type="dxa" w:w="310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构成公式</w:t>
            </w:r>
          </w:p>
        </w:tc>
        <w:tc>
          <w:tcPr>
            <w:tcW w:type="dxa" w:w="2010"/>
            <w:vAlign w:val="top"/>
            <w:tcMar>
              <w:top w:w="70" w:type="dxa"/>
              <w:start w:w="100" w:type="dxa"/>
              <w:bottom w:w="70" w:type="dxa"/>
              <w:end w:w="10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作用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peak_local_position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波峰局部高位分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各窗口 (H-min)/(max-min) 的平均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越接近 1，最高价越处于局部高位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valley_local_position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波谷局部低位分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各窗口 (max-L)/(max-min) 的平均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越接近 1，最低价越处于局部低位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peak_trend_turn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波峰趋势转弱分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sigmoid((left_slope-right_slope)/ATR)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左侧上涨、右侧走弱越明显，分数越高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valley_trend_turn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波谷趋势转强分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sigmoid((right_slope-left_slope)/ATR)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左侧下跌、右侧走强越明显，分数越高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peak_reversal_strength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波峰向下反转分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mean_h[1-exp(-max(0,(C-min未来L)/ATR))]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未来下跌幅度越大，分数越高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valley_reversal_strength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波谷向上反转分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mean_h[1-exp(-max(0,(max未来H-C)/ATR))]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未来上涨幅度越大，分数越高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peak_persistence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波峰反转持续分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mean(确认后 C &lt;= C_t-ATR_t)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确认下跌后，价格保持在障碍下方的比例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valley_persistence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波谷反转持续分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mean(确认后 C &gt;= C_t+ATR_t)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确认上涨后，价格保持在障碍上方的比例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peak_strength_ex_post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波峰事后综合强度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G(local, trend, reversal, persistence)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四个波峰分量的平滑几何平均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valley_strength_ex_post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波谷事后综合强度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G(local, trend, reversal, persistence)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四个波谷分量的平滑几何平均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peak_confirm_delay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波峰确认延迟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首次未来 L &lt;= C_t-ATR_t 的交易日数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越小表示向下反转确认越快；未触发为空</w:t>
            </w:r>
          </w:p>
        </w:tc>
      </w:tr>
      <w:tr>
        <w:tc>
          <w:tcPr>
            <w:tcW w:type="dxa" w:w="25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valley_confirm_delay</w:t>
            </w:r>
          </w:p>
        </w:tc>
        <w:tc>
          <w:tcPr>
            <w:tcW w:type="dxa" w:w="175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波谷确认延迟</w:t>
            </w:r>
          </w:p>
        </w:tc>
        <w:tc>
          <w:tcPr>
            <w:tcW w:type="dxa" w:w="310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首次未来 H &gt;= C_t+ATR_t 的交易日数</w:t>
            </w:r>
          </w:p>
        </w:tc>
        <w:tc>
          <w:tcPr>
            <w:tcW w:type="dxa" w:w="2010"/>
          </w:tcPr>
          <w:p>
            <w:pPr>
              <w:spacing w:after="2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越小表示向上反转确认越快；未触发为空</w:t>
            </w:r>
          </w:p>
        </w:tc>
      </w:tr>
    </w:tbl>
    <w:p>
      <w:pPr>
        <w:spacing w:after="20"/>
      </w:pPr>
    </w:p>
    <w:p>
      <w:pPr>
        <w:pStyle w:val="Heading1"/>
      </w:pPr>
      <w:r>
        <w:t>三、公共公式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ATR：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TR_t = max(H_t-L_t, |H_t-C_{t-1}|, |L_t-C_{t-1}|)；ATR_t = rolling_mean(TR_t, 20)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趋势：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M_t = EMA5(C_t) - EMA20(C_t)；left_slope = M_t-M_{t-5}；right_slope = M_{t+5}-M_t</w:t>
      </w:r>
    </w:p>
    <w:p>
      <w:pPr>
        <w:spacing w:after="20" w:line="276" w:lineRule="auto"/>
      </w:pPr>
      <w:r>
        <w:rPr>
          <w:rFonts w:ascii="Calibri" w:hAnsi="Calibri" w:eastAsia="Microsoft YaHei"/>
          <w:b/>
          <w:color w:val="000000"/>
          <w:sz w:val="21"/>
        </w:rPr>
        <w:t>几何综合：</w:t>
      </w:r>
    </w:p>
    <w:p>
      <w:pPr>
        <w:spacing w:after="80" w:line="276" w:lineRule="auto"/>
      </w:pPr>
      <w:r>
        <w:rPr>
          <w:rFonts w:ascii="Calibri" w:hAnsi="Calibri" w:eastAsia="Microsoft YaHei"/>
          <w:b w:val="0"/>
          <w:color w:val="0B2545"/>
          <w:sz w:val="19"/>
        </w:rPr>
        <w:t>G = clip((product(component_i+0.02)^(1/4)-0.02)/(1-0.02), 0, 1)</w:t>
      </w:r>
    </w:p>
    <w:p>
      <w:pPr>
        <w:pStyle w:val="Heading1"/>
      </w:pPr>
      <w:r>
        <w:t>四、记忆要点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所有强度分数范围为 0~1，但不是概率。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峰谷独立计算，不强制交替，允许相邻同类型日期。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当前反转障碍以收盘价 C_t 为基准，不是 high/low。</w:t>
      </w:r>
    </w:p>
    <w:p>
      <w:pPr>
        <w:pStyle w:val="ListBullet"/>
        <w:spacing w:after="60"/>
        <w:ind w:left="540" w:hanging="271"/>
      </w:pPr>
      <w:r>
        <w:rPr>
          <w:rFonts w:ascii="Calibri" w:hAnsi="Calibri" w:eastAsia="Microsoft YaHei"/>
          <w:b w:val="0"/>
          <w:color w:val="000000"/>
          <w:sz w:val="20"/>
        </w:rPr>
        <w:t>V1 已删除；V2 报告默认输出到 temp/peak_valley_v2_300265_v2only/。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777777"/>
        <w:sz w:val="17"/>
      </w:rPr>
      <w:t>V2 因子公式速查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波峰波谷 V2 因子公式速查</dc:title>
  <dc:subject>V2 事后连续标注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