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Microsoft YaHei"/>
          <w:b/>
          <w:color w:val="0B2545"/>
          <w:sz w:val="40"/>
        </w:rPr>
        <w:t>波峰波谷 V2 因子公式速查</w:t>
      </w:r>
    </w:p>
    <w:p>
      <w:pPr>
        <w:spacing w:after="160" w:line="276" w:lineRule="auto"/>
      </w:pPr>
      <w:r>
        <w:rPr>
          <w:rFonts w:ascii="Calibri" w:hAnsi="Calibri" w:eastAsia="Microsoft YaHei"/>
          <w:b w:val="0"/>
          <w:color w:val="555555"/>
          <w:sz w:val="19"/>
        </w:rPr>
        <w:t>用途：忘记公式时逐列回忆。V2 为离线事后标注，分数含未来信息，不是实时概率。</w:t>
      </w:r>
    </w:p>
    <w:p>
      <w:pPr>
        <w:pStyle w:val="Heading1"/>
      </w:pPr>
      <w:r>
        <w:t>一、统一参数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参数</w:t>
            </w:r>
          </w:p>
        </w:tc>
        <w:tc>
          <w:tcPr>
            <w:tcW w:type="dxa" w:w="67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值</w:t>
            </w:r>
          </w:p>
        </w:tc>
      </w:tr>
      <w:tr>
        <w:tc>
          <w:tcPr>
            <w:tcW w:type="dxa" w:w="26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局部窗口</w:t>
            </w:r>
          </w:p>
        </w:tc>
        <w:tc>
          <w:tcPr>
            <w:tcW w:type="dxa" w:w="676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3、5、10、20、40、60 根 K 线</w:t>
            </w:r>
          </w:p>
        </w:tc>
      </w:tr>
      <w:tr>
        <w:tc>
          <w:tcPr>
            <w:tcW w:type="dxa" w:w="26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未来窗口</w:t>
            </w:r>
          </w:p>
        </w:tc>
        <w:tc>
          <w:tcPr>
            <w:tcW w:type="dxa" w:w="676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5、10、20、40 根 K 线</w:t>
            </w:r>
          </w:p>
        </w:tc>
      </w:tr>
      <w:tr>
        <w:tc>
          <w:tcPr>
            <w:tcW w:type="dxa" w:w="26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ATR 周期</w:t>
            </w:r>
          </w:p>
        </w:tc>
        <w:tc>
          <w:tcPr>
            <w:tcW w:type="dxa" w:w="676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</w:t>
            </w:r>
          </w:p>
        </w:tc>
      </w:tr>
      <w:tr>
        <w:tc>
          <w:tcPr>
            <w:tcW w:type="dxa" w:w="26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反转障碍</w:t>
            </w:r>
          </w:p>
        </w:tc>
        <w:tc>
          <w:tcPr>
            <w:tcW w:type="dxa" w:w="676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1.0 × 事件日 ATR</w:t>
            </w:r>
          </w:p>
        </w:tc>
      </w:tr>
      <w:tr>
        <w:tc>
          <w:tcPr>
            <w:tcW w:type="dxa" w:w="26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趋势 EMA</w:t>
            </w:r>
          </w:p>
        </w:tc>
        <w:tc>
          <w:tcPr>
            <w:tcW w:type="dxa" w:w="676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EMA5、EMA20；斜率回看 5 根</w:t>
            </w:r>
          </w:p>
        </w:tc>
      </w:tr>
      <w:tr>
        <w:tc>
          <w:tcPr>
            <w:tcW w:type="dxa" w:w="26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几何平滑</w:t>
            </w:r>
          </w:p>
        </w:tc>
        <w:tc>
          <w:tcPr>
            <w:tcW w:type="dxa" w:w="676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epsilon = 0.02</w:t>
            </w:r>
          </w:p>
        </w:tc>
      </w:tr>
    </w:tbl>
    <w:p>
      <w:pPr>
        <w:spacing w:after="20"/>
      </w:pPr>
    </w:p>
    <w:p>
      <w:pPr>
        <w:pStyle w:val="Heading1"/>
      </w:pPr>
      <w:r>
        <w:t>二、V2 因子列逐项说明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750"/>
        <w:gridCol w:w="3100"/>
        <w:gridCol w:w="2010"/>
      </w:tblGrid>
      <w:tr>
        <w:tc>
          <w:tcPr>
            <w:tcW w:type="dxa" w:w="25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字段名</w:t>
            </w:r>
          </w:p>
        </w:tc>
        <w:tc>
          <w:tcPr>
            <w:tcW w:type="dxa" w:w="175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中文名</w:t>
            </w:r>
          </w:p>
        </w:tc>
        <w:tc>
          <w:tcPr>
            <w:tcW w:type="dxa" w:w="3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构成公式</w:t>
            </w:r>
          </w:p>
        </w:tc>
        <w:tc>
          <w:tcPr>
            <w:tcW w:type="dxa" w:w="201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作用</w:t>
            </w:r>
          </w:p>
        </w:tc>
      </w:tr>
      <w:tr>
        <w:tc>
          <w:tcPr>
            <w:tcW w:type="dxa" w:w="25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peak_local_position</w:t>
            </w:r>
          </w:p>
        </w:tc>
        <w:tc>
          <w:tcPr>
            <w:tcW w:type="dxa" w:w="175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波峰局部高位分</w:t>
            </w:r>
          </w:p>
        </w:tc>
        <w:tc>
          <w:tcPr>
            <w:tcW w:type="dxa" w:w="31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各窗口 (H-min)/(max-min) 的平均</w:t>
            </w:r>
          </w:p>
        </w:tc>
        <w:tc>
          <w:tcPr>
            <w:tcW w:type="dxa" w:w="201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越接近 1，最高价越处于局部高位</w:t>
            </w:r>
          </w:p>
        </w:tc>
      </w:tr>
      <w:tr>
        <w:tc>
          <w:tcPr>
            <w:tcW w:type="dxa" w:w="25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valley_local_position</w:t>
            </w:r>
          </w:p>
        </w:tc>
        <w:tc>
          <w:tcPr>
            <w:tcW w:type="dxa" w:w="175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波谷局部低位分</w:t>
            </w:r>
          </w:p>
        </w:tc>
        <w:tc>
          <w:tcPr>
            <w:tcW w:type="dxa" w:w="31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各窗口 (max-L)/(max-min) 的平均</w:t>
            </w:r>
          </w:p>
        </w:tc>
        <w:tc>
          <w:tcPr>
            <w:tcW w:type="dxa" w:w="201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越接近 1，最低价越处于局部低位</w:t>
            </w:r>
          </w:p>
        </w:tc>
      </w:tr>
      <w:tr>
        <w:tc>
          <w:tcPr>
            <w:tcW w:type="dxa" w:w="25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peak_trend_turn</w:t>
            </w:r>
          </w:p>
        </w:tc>
        <w:tc>
          <w:tcPr>
            <w:tcW w:type="dxa" w:w="175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波峰趋势转弱分</w:t>
            </w:r>
          </w:p>
        </w:tc>
        <w:tc>
          <w:tcPr>
            <w:tcW w:type="dxa" w:w="31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sigmoid((left_slope-right_slope)/ATR)</w:t>
            </w:r>
          </w:p>
        </w:tc>
        <w:tc>
          <w:tcPr>
            <w:tcW w:type="dxa" w:w="201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左侧上涨、右侧走弱越明显，分数越高</w:t>
            </w:r>
          </w:p>
        </w:tc>
      </w:tr>
      <w:tr>
        <w:tc>
          <w:tcPr>
            <w:tcW w:type="dxa" w:w="25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valley_trend_turn</w:t>
            </w:r>
          </w:p>
        </w:tc>
        <w:tc>
          <w:tcPr>
            <w:tcW w:type="dxa" w:w="175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波谷趋势转强分</w:t>
            </w:r>
          </w:p>
        </w:tc>
        <w:tc>
          <w:tcPr>
            <w:tcW w:type="dxa" w:w="31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sigmoid((right_slope-left_slope)/ATR)</w:t>
            </w:r>
          </w:p>
        </w:tc>
        <w:tc>
          <w:tcPr>
            <w:tcW w:type="dxa" w:w="201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左侧下跌、右侧走强越明显，分数越高</w:t>
            </w:r>
          </w:p>
        </w:tc>
      </w:tr>
      <w:tr>
        <w:tc>
          <w:tcPr>
            <w:tcW w:type="dxa" w:w="25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peak_reversal_strength</w:t>
            </w:r>
          </w:p>
        </w:tc>
        <w:tc>
          <w:tcPr>
            <w:tcW w:type="dxa" w:w="175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波峰向下反转分</w:t>
            </w:r>
          </w:p>
        </w:tc>
        <w:tc>
          <w:tcPr>
            <w:tcW w:type="dxa" w:w="31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mean_h[1-exp(-max(0,(C-min未来L)/ATR))]</w:t>
            </w:r>
          </w:p>
        </w:tc>
        <w:tc>
          <w:tcPr>
            <w:tcW w:type="dxa" w:w="201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未来下跌幅度越大，分数越高</w:t>
            </w:r>
          </w:p>
        </w:tc>
      </w:tr>
      <w:tr>
        <w:tc>
          <w:tcPr>
            <w:tcW w:type="dxa" w:w="25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valley_reversal_strength</w:t>
            </w:r>
          </w:p>
        </w:tc>
        <w:tc>
          <w:tcPr>
            <w:tcW w:type="dxa" w:w="175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波谷向上反转分</w:t>
            </w:r>
          </w:p>
        </w:tc>
        <w:tc>
          <w:tcPr>
            <w:tcW w:type="dxa" w:w="31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mean_h[1-exp(-max(0,(max未来H-C)/ATR))]</w:t>
            </w:r>
          </w:p>
        </w:tc>
        <w:tc>
          <w:tcPr>
            <w:tcW w:type="dxa" w:w="201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未来上涨幅度越大，分数越高</w:t>
            </w:r>
          </w:p>
        </w:tc>
      </w:tr>
      <w:tr>
        <w:tc>
          <w:tcPr>
            <w:tcW w:type="dxa" w:w="25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peak_persistence</w:t>
            </w:r>
          </w:p>
        </w:tc>
        <w:tc>
          <w:tcPr>
            <w:tcW w:type="dxa" w:w="175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波峰反转持续分</w:t>
            </w:r>
          </w:p>
        </w:tc>
        <w:tc>
          <w:tcPr>
            <w:tcW w:type="dxa" w:w="31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mean(确认后 C &lt;= C_t-ATR_t)</w:t>
            </w:r>
          </w:p>
        </w:tc>
        <w:tc>
          <w:tcPr>
            <w:tcW w:type="dxa" w:w="201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确认下跌后，价格保持在障碍下方的比例</w:t>
            </w:r>
          </w:p>
        </w:tc>
      </w:tr>
      <w:tr>
        <w:tc>
          <w:tcPr>
            <w:tcW w:type="dxa" w:w="25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valley_persistence</w:t>
            </w:r>
          </w:p>
        </w:tc>
        <w:tc>
          <w:tcPr>
            <w:tcW w:type="dxa" w:w="175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波谷反转持续分</w:t>
            </w:r>
          </w:p>
        </w:tc>
        <w:tc>
          <w:tcPr>
            <w:tcW w:type="dxa" w:w="31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mean(确认后 C &gt;= C_t+ATR_t)</w:t>
            </w:r>
          </w:p>
        </w:tc>
        <w:tc>
          <w:tcPr>
            <w:tcW w:type="dxa" w:w="201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确认上涨后，价格保持在障碍上方的比例</w:t>
            </w:r>
          </w:p>
        </w:tc>
      </w:tr>
      <w:tr>
        <w:tc>
          <w:tcPr>
            <w:tcW w:type="dxa" w:w="25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peak_strength_ex_post</w:t>
            </w:r>
          </w:p>
        </w:tc>
        <w:tc>
          <w:tcPr>
            <w:tcW w:type="dxa" w:w="175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波峰事后综合强度</w:t>
            </w:r>
          </w:p>
        </w:tc>
        <w:tc>
          <w:tcPr>
            <w:tcW w:type="dxa" w:w="31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G(local, trend, reversal, persistence)</w:t>
            </w:r>
          </w:p>
        </w:tc>
        <w:tc>
          <w:tcPr>
            <w:tcW w:type="dxa" w:w="201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四个波峰分量的平滑几何平均</w:t>
            </w:r>
          </w:p>
        </w:tc>
      </w:tr>
      <w:tr>
        <w:tc>
          <w:tcPr>
            <w:tcW w:type="dxa" w:w="25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valley_strength_ex_post</w:t>
            </w:r>
          </w:p>
        </w:tc>
        <w:tc>
          <w:tcPr>
            <w:tcW w:type="dxa" w:w="175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波谷事后综合强度</w:t>
            </w:r>
          </w:p>
        </w:tc>
        <w:tc>
          <w:tcPr>
            <w:tcW w:type="dxa" w:w="31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G(local, trend, reversal, persistence)</w:t>
            </w:r>
          </w:p>
        </w:tc>
        <w:tc>
          <w:tcPr>
            <w:tcW w:type="dxa" w:w="201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四个波谷分量的平滑几何平均</w:t>
            </w:r>
          </w:p>
        </w:tc>
      </w:tr>
      <w:tr>
        <w:tc>
          <w:tcPr>
            <w:tcW w:type="dxa" w:w="25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peak_confirm_delay</w:t>
            </w:r>
          </w:p>
        </w:tc>
        <w:tc>
          <w:tcPr>
            <w:tcW w:type="dxa" w:w="175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波峰确认延迟</w:t>
            </w:r>
          </w:p>
        </w:tc>
        <w:tc>
          <w:tcPr>
            <w:tcW w:type="dxa" w:w="31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首次未来 L &lt;= C_t-ATR_t 的交易日数</w:t>
            </w:r>
          </w:p>
        </w:tc>
        <w:tc>
          <w:tcPr>
            <w:tcW w:type="dxa" w:w="201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越小表示向下反转确认越快；未触发为空</w:t>
            </w:r>
          </w:p>
        </w:tc>
      </w:tr>
      <w:tr>
        <w:tc>
          <w:tcPr>
            <w:tcW w:type="dxa" w:w="25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valley_confirm_delay</w:t>
            </w:r>
          </w:p>
        </w:tc>
        <w:tc>
          <w:tcPr>
            <w:tcW w:type="dxa" w:w="175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波谷确认延迟</w:t>
            </w:r>
          </w:p>
        </w:tc>
        <w:tc>
          <w:tcPr>
            <w:tcW w:type="dxa" w:w="31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首次未来 H &gt;= C_t+ATR_t 的交易日数</w:t>
            </w:r>
          </w:p>
        </w:tc>
        <w:tc>
          <w:tcPr>
            <w:tcW w:type="dxa" w:w="201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越小表示向上反转确认越快；未触发为空</w:t>
            </w:r>
          </w:p>
        </w:tc>
      </w:tr>
    </w:tbl>
    <w:p>
      <w:pPr>
        <w:spacing w:after="20"/>
      </w:pPr>
    </w:p>
    <w:p>
      <w:pPr>
        <w:pStyle w:val="Heading1"/>
      </w:pPr>
      <w:r>
        <w:t>三、公共公式</w:t>
      </w:r>
    </w:p>
    <w:p>
      <w:pPr>
        <w:spacing w:after="20" w:line="276" w:lineRule="auto"/>
      </w:pPr>
      <w:r>
        <w:rPr>
          <w:rFonts w:ascii="Calibri" w:hAnsi="Calibri" w:eastAsia="Microsoft YaHei"/>
          <w:b/>
          <w:color w:val="000000"/>
          <w:sz w:val="21"/>
        </w:rPr>
        <w:t>ATR：</w:t>
      </w:r>
    </w:p>
    <w:p>
      <w:pPr>
        <w:spacing w:after="80" w:line="276" w:lineRule="auto"/>
      </w:pPr>
      <w:r>
        <w:rPr>
          <w:rFonts w:ascii="Calibri" w:hAnsi="Calibri" w:eastAsia="Microsoft YaHei"/>
          <w:b w:val="0"/>
          <w:color w:val="0B2545"/>
          <w:sz w:val="19"/>
        </w:rPr>
        <w:t>TR_t = max(H_t-L_t, |H_t-C_{t-1}|, |L_t-C_{t-1}|)；ATR_t = rolling_mean(TR_t, 20)</w:t>
      </w:r>
    </w:p>
    <w:p>
      <w:pPr>
        <w:spacing w:after="20" w:line="276" w:lineRule="auto"/>
      </w:pPr>
      <w:r>
        <w:rPr>
          <w:rFonts w:ascii="Calibri" w:hAnsi="Calibri" w:eastAsia="Microsoft YaHei"/>
          <w:b/>
          <w:color w:val="000000"/>
          <w:sz w:val="21"/>
        </w:rPr>
        <w:t>趋势：</w:t>
      </w:r>
    </w:p>
    <w:p>
      <w:pPr>
        <w:spacing w:after="80" w:line="276" w:lineRule="auto"/>
      </w:pPr>
      <w:r>
        <w:rPr>
          <w:rFonts w:ascii="Calibri" w:hAnsi="Calibri" w:eastAsia="Microsoft YaHei"/>
          <w:b w:val="0"/>
          <w:color w:val="0B2545"/>
          <w:sz w:val="19"/>
        </w:rPr>
        <w:t>M_t = EMA5(C_t) - EMA20(C_t)；left_slope = M_t-M_{t-5}；right_slope = M_{t+5}-M_t</w:t>
      </w:r>
    </w:p>
    <w:p>
      <w:pPr>
        <w:spacing w:after="20" w:line="276" w:lineRule="auto"/>
      </w:pPr>
      <w:r>
        <w:rPr>
          <w:rFonts w:ascii="Calibri" w:hAnsi="Calibri" w:eastAsia="Microsoft YaHei"/>
          <w:b/>
          <w:color w:val="000000"/>
          <w:sz w:val="21"/>
        </w:rPr>
        <w:t>几何综合：</w:t>
      </w:r>
    </w:p>
    <w:p>
      <w:pPr>
        <w:spacing w:after="80" w:line="276" w:lineRule="auto"/>
      </w:pPr>
      <w:r>
        <w:rPr>
          <w:rFonts w:ascii="Calibri" w:hAnsi="Calibri" w:eastAsia="Microsoft YaHei"/>
          <w:b w:val="0"/>
          <w:color w:val="0B2545"/>
          <w:sz w:val="19"/>
        </w:rPr>
        <w:t>G = clip((product(component_i+0.02)^(1/4)-0.02)/(1-0.02), 0, 1)</w:t>
      </w:r>
    </w:p>
    <w:p>
      <w:pPr>
        <w:pStyle w:val="Heading1"/>
      </w:pPr>
      <w:r>
        <w:t>四、补充列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字段</w:t>
            </w:r>
          </w:p>
        </w:tc>
        <w:tc>
          <w:tcPr>
            <w:tcW w:type="dxa" w:w="63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含义</w:t>
            </w:r>
          </w:p>
        </w:tc>
      </w:tr>
      <w:tr>
        <w:tc>
          <w:tcPr>
            <w:tcW w:type="dxa" w:w="30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636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交易日期</w:t>
            </w:r>
          </w:p>
        </w:tc>
      </w:tr>
      <w:tr>
        <w:tc>
          <w:tcPr>
            <w:tcW w:type="dxa" w:w="30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manual_direction</w:t>
            </w:r>
          </w:p>
        </w:tc>
        <w:tc>
          <w:tcPr>
            <w:tcW w:type="dxa" w:w="636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人工稀疏锚点汇总；未标注日期为空</w:t>
            </w:r>
          </w:p>
        </w:tc>
      </w:tr>
      <w:tr>
        <w:tc>
          <w:tcPr>
            <w:tcW w:type="dxa" w:w="30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manual_peak / manual_valley</w:t>
            </w:r>
          </w:p>
        </w:tc>
        <w:tc>
          <w:tcPr>
            <w:tcW w:type="dxa" w:w="636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人工波峰/波谷正负锚点；不参与 V2 计算</w:t>
            </w:r>
          </w:p>
        </w:tc>
      </w:tr>
    </w:tbl>
    <w:p>
      <w:pPr>
        <w:spacing w:after="20"/>
      </w:pPr>
    </w:p>
    <w:p>
      <w:pPr>
        <w:pStyle w:val="Heading1"/>
      </w:pPr>
      <w:r>
        <w:t>五、记忆要点</w:t>
      </w:r>
    </w:p>
    <w:p>
      <w:pPr>
        <w:pStyle w:val="ListBullet"/>
        <w:spacing w:after="60"/>
        <w:ind w:left="540" w:hanging="271"/>
      </w:pPr>
      <w:r>
        <w:rPr>
          <w:rFonts w:ascii="Calibri" w:hAnsi="Calibri" w:eastAsia="Microsoft YaHei"/>
          <w:b w:val="0"/>
          <w:color w:val="000000"/>
          <w:sz w:val="20"/>
        </w:rPr>
        <w:t>所有强度分数范围为 0~1，但不是概率。</w:t>
      </w:r>
    </w:p>
    <w:p>
      <w:pPr>
        <w:pStyle w:val="ListBullet"/>
        <w:spacing w:after="60"/>
        <w:ind w:left="540" w:hanging="271"/>
      </w:pPr>
      <w:r>
        <w:rPr>
          <w:rFonts w:ascii="Calibri" w:hAnsi="Calibri" w:eastAsia="Microsoft YaHei"/>
          <w:b w:val="0"/>
          <w:color w:val="000000"/>
          <w:sz w:val="20"/>
        </w:rPr>
        <w:t>峰谷独立计算，不强制交替，允许相邻同类型日期。</w:t>
      </w:r>
    </w:p>
    <w:p>
      <w:pPr>
        <w:pStyle w:val="ListBullet"/>
        <w:spacing w:after="60"/>
        <w:ind w:left="540" w:hanging="271"/>
      </w:pPr>
      <w:r>
        <w:rPr>
          <w:rFonts w:ascii="Calibri" w:hAnsi="Calibri" w:eastAsia="Microsoft YaHei"/>
          <w:b w:val="0"/>
          <w:color w:val="000000"/>
          <w:sz w:val="20"/>
        </w:rPr>
        <w:t>当前反转障碍以收盘价 C_t 为基准，不是 high/low。</w:t>
      </w:r>
    </w:p>
    <w:p>
      <w:pPr>
        <w:pStyle w:val="ListBullet"/>
        <w:spacing w:after="60"/>
        <w:ind w:left="540" w:hanging="271"/>
      </w:pPr>
      <w:r>
        <w:rPr>
          <w:rFonts w:ascii="Calibri" w:hAnsi="Calibri" w:eastAsia="Microsoft YaHei"/>
          <w:b w:val="0"/>
          <w:color w:val="000000"/>
          <w:sz w:val="20"/>
        </w:rPr>
        <w:t>V1 已删除；V2 报告默认输出到 temp/peak_valley_v2_300265_v2only/。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777777"/>
        <w:sz w:val="17"/>
      </w:rPr>
      <w:t>V2 因子公式速查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波峰波谷 V2 因子公式速查</dc:title>
  <dc:subject>V2 事后连续标注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