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</w:pPr>
      <w:r>
        <w:rPr>
          <w:rFonts w:ascii="Calibri" w:hAnsi="Calibri" w:eastAsia="微软雅黑"/>
          <w:b/>
          <w:i w:val="0"/>
          <w:color w:val="9A6B00"/>
          <w:sz w:val="22"/>
        </w:rPr>
        <w:t>技术说明书</w:t>
      </w:r>
    </w:p>
    <w:p>
      <w:pPr>
        <w:spacing w:after="200"/>
      </w:pPr>
      <w:r>
        <w:rPr>
          <w:rFonts w:ascii="Calibri" w:hAnsi="Calibri" w:eastAsia="微软雅黑"/>
          <w:b/>
          <w:i w:val="0"/>
          <w:color w:val="18324A"/>
          <w:sz w:val="54"/>
        </w:rPr>
        <w:t>V2 波峰 / 波谷事后连续 Label</w:t>
      </w:r>
    </w:p>
    <w:p>
      <w:pPr>
        <w:spacing w:after="480"/>
      </w:pPr>
      <w:r>
        <w:rPr>
          <w:rFonts w:ascii="Calibri" w:hAnsi="Calibri" w:eastAsia="微软雅黑"/>
          <w:b w:val="0"/>
          <w:i w:val="0"/>
          <w:color w:val="1F4D78"/>
          <w:sz w:val="30"/>
        </w:rPr>
        <w:t>公式、计算步骤与推理逻辑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2"/>
              </w:rPr>
              <w:t xml:space="preserve">核心定位  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2"/>
              </w:rPr>
              <w:t>该算法不是交易信号，而是使用未来价格路径评价每个历史交易日“事后看像不像峰或谷”的连续监督目标。峰、谷独立评分，均位于 [0,1]。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8324A"/>
                <w:sz w:val="19"/>
              </w:rPr>
              <w:t>项目</w:t>
            </w:r>
          </w:p>
        </w:tc>
        <w:tc>
          <w:tcPr>
            <w:tcW w:type="dxa" w:w="7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8324A"/>
                <w:sz w:val="19"/>
              </w:rPr>
              <w:t>说明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对应实现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ZXW因子/peak_valley_expost_annotation_v2.py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生产入口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ZXW因子/generate_peak_valley_v2_labels.py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默认窗口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局部位置 3/5/10/20/40/60 日；未来路径 5/10/20/40 日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主要输出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波峰事后连续强度、波谷事后连续强度及 10 个诊断分量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文档日期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2026-08-12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目标与边界</w:t>
      </w:r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V2 的目标是把“高点和低点”从单一的 0/1 事件改造成连续强度。每个交易日都得到一个波峰分数和一个波谷分数，以便后续回归模型学习强弱排序，而不是被迫把大量未标注日期视为明确负样本。</w:t>
      </w:r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峰谷互不排斥。算法允许相邻峰、相邻谷，也允许同一天的峰分与谷分同时非零。0 只表示当前算法给出的强度很低，不等价于人工确认的负例。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D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i w:val="0"/>
                <w:color w:val="9A6B00"/>
                <w:sz w:val="22"/>
              </w:rPr>
              <w:t xml:space="preserve">未来数据警告  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2"/>
              </w:rPr>
              <w:t>局部位置使用居中窗口，趋势转折使用 t+5，反转强度、持续性和确认延迟最长使用 t+40。因此全部 V2 字段只能作为训练 label、离线诊断或事后评价，严禁作为实时特征。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输入、符号与默认参数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5460"/>
        <w:gridCol w:w="2600"/>
      </w:tblGrid>
      <w:tr>
        <w:trPr>
          <w:tblHeader w:val="true"/>
        </w:trPr>
        <w:tc>
          <w:tcPr>
            <w:tcW w:type="dxa" w:w="1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8324A"/>
                <w:sz w:val="19"/>
              </w:rPr>
              <w:t>符号</w:t>
            </w:r>
          </w:p>
        </w:tc>
        <w:tc>
          <w:tcPr>
            <w:tcW w:type="dxa" w:w="5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8324A"/>
                <w:sz w:val="19"/>
              </w:rPr>
              <w:t>含义</w:t>
            </w:r>
          </w:p>
        </w:tc>
        <w:tc>
          <w:tcPr>
            <w:tcW w:type="dxa" w:w="2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8324A"/>
                <w:sz w:val="19"/>
              </w:rPr>
              <w:t>默认值/范围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Hₜ, Lₜ, Cₜ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交易日 t 的最高价、最低价、收盘价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有效实数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ATRₜ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 日简单移动平均真实波幅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&gt; 0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W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居中局部窗口集合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{3,5,10,20,40,60}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Q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未来评价期限集合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{5,10,20,40}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σ(x)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有界 Sigmoid 函数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1/(1+e⁻ˣ)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ε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平滑几何均值常数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0.02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clip(x)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将结果截断到 [0,1]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min(1,max(0,x))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总体推理链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先判断当天是否处在多尺度的局部高位或低位。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再判断当天附近的趋势动量是否发生由强转弱或由弱转强。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观察未来 5/10/20/40 日是否出现足够大的反向运动，并使用 ATR 消除不同价格和波动水平的量纲。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若未来跨过 1 ATR 确认门槛，衡量反转在剩余未来区间内是否持续。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将四个分量以平滑几何均值合成；任何一个分量明显不足都会压低总强度。</w:t>
      </w:r>
    </w:p>
    <w:p>
      <w:pPr>
        <w:spacing w:before="120" w:after="120"/>
        <w:jc w:val="center"/>
      </w:pPr>
      <m:oMathPara>
        <m:oMath>
          <m:r>
            <m:rPr>
              <m:sty m:val="p"/>
            </m:rPr>
            <m:t>价格位置 → 趋势转折 → 未来反转 → 反转持续 → 几何合成</m:t>
          </m:r>
        </m:oMath>
      </m:oMathPara>
    </w:p>
    <w:p>
      <w:pPr>
        <w:pStyle w:val="Heading1"/>
        <w:keepNext/>
      </w:pPr>
      <w:r>
        <w:t>4. 基础波动尺度：ATR</w:t>
      </w:r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真实波幅同时考虑当日振幅和隔夜跳空。代码先计算 TR，再对最近 20 个有效交易日取简单平均。</w:t>
      </w:r>
    </w:p>
    <w:p>
      <w:pPr>
        <w:spacing w:before="120" w:after="120"/>
        <w:jc w:val="center"/>
      </w:pPr>
      <m:oMathPara>
        <m:oMath>
          <m:r>
            <m:rPr>
              <m:sty m:val="p"/>
            </m:rPr>
            <m:t>TRₜ = max(Hₜ−Lₜ, |Hₜ−Cₜ₋₁|, |Lₜ−Cₜ₋₁|)</m:t>
          </m:r>
        </m:oMath>
      </m:oMathPara>
    </w:p>
    <w:p>
      <w:pPr>
        <w:spacing w:before="120" w:after="120"/>
        <w:jc w:val="center"/>
      </w:pPr>
      <m:oMathPara>
        <m:oMath>
          <m:r>
            <m:rPr>
              <m:sty m:val="p"/>
            </m:rPr>
            <m:t>ATRₜ = (1/20) Σⱼ₌₀¹⁹ TRₜ₋ⱼ</m:t>
          </m:r>
        </m:oMath>
      </m:oMathPara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序列开头允许不足 20 日；若 ATR 缺失或为 0，代码使用有效 TR 的中位数兜底，并最终限制为至少 10⁻¹²。这样避免除零，同时保留价格尺度归一化。</w:t>
      </w:r>
    </w:p>
    <w:p>
      <w:pPr>
        <w:pStyle w:val="Heading1"/>
        <w:keepNext/>
      </w:pPr>
      <w:r>
        <w:t>5. 分量一：多尺度局部位置</w:t>
      </w:r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对每个窗口 w∈W，使用以 t 为中心的窗口 N_w(t) 计算局部最高与最低。中心窗口会读取 t 之后的数据，所以该分量也是事后信息。</w:t>
      </w:r>
    </w:p>
    <w:p>
      <w:pPr>
        <w:spacing w:before="120" w:after="120"/>
        <w:jc w:val="center"/>
      </w:pPr>
      <m:oMathPara>
        <m:oMath>
          <m:r>
            <m:rPr>
              <m:sty m:val="p"/>
            </m:rPr>
            <m:t>minₜ,w = min{xᵢ : i∈N_w(t)},    maxₜ,w = max{xᵢ : i∈N_w(t)}</m:t>
          </m:r>
        </m:oMath>
      </m:oMathPara>
    </w:p>
    <w:p>
      <w:pPr>
        <w:spacing w:before="120" w:after="120"/>
        <w:jc w:val="center"/>
      </w:pPr>
      <m:oMathPara>
        <m:oMath>
          <m:r>
            <m:rPr>
              <m:sty m:val="p"/>
            </m:rPr>
            <m:t>Pₜ,w^(peak) = (Hₜ−minₜ,w(H)) / (maxₜ,w(H)−minₜ,w(H))</m:t>
          </m:r>
        </m:oMath>
      </m:oMathPara>
    </w:p>
    <w:p>
      <w:pPr>
        <w:spacing w:before="120" w:after="120"/>
        <w:jc w:val="center"/>
      </w:pPr>
      <m:oMathPara>
        <m:oMath>
          <m:r>
            <m:rPr>
              <m:sty m:val="p"/>
            </m:rPr>
            <m:t>Pₜ,w^(valley) = (maxₜ,w(L)−Lₜ) / (maxₜ,w(L)−minₜ,w(L))</m:t>
          </m:r>
        </m:oMath>
      </m:oMathPara>
    </w:p>
    <w:p>
      <w:pPr>
        <w:spacing w:before="120" w:after="120"/>
        <w:jc w:val="center"/>
      </w:pPr>
      <m:oMathPara>
        <m:oMath>
          <m:r>
            <m:rPr>
              <m:sty m:val="p"/>
            </m:rPr>
            <m:t>Localₜ^(d) = (1/6) Σw∈W clip(Pₜ,w^(d)),    d∈{peak,valley}</m:t>
          </m:r>
        </m:oMath>
      </m:oMathPara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解释：当天 High 越接近多尺度局部最高，波峰位置分越高；当天 Low 越接近多尺度局部最低，波谷位置分越高。若窗口内价格完全不变、分母为 0，该窗口分数按 0.5 处理。</w:t>
      </w:r>
    </w:p>
    <w:p>
      <w:pPr>
        <w:pStyle w:val="Heading1"/>
        <w:keepNext/>
      </w:pPr>
      <w:r>
        <w:t>6. 分量二：趋势转折</w:t>
      </w:r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趋势分量不是直接判断涨跌，而是比较动量在事件日前后 5 个交易日的斜率变化。动量定义为 EMA(5) 与 EMA(20) 的差。EMA 使用 adjust=False 的递推实现。</w:t>
      </w:r>
    </w:p>
    <w:p>
      <w:pPr>
        <w:spacing w:before="120" w:after="120"/>
        <w:jc w:val="center"/>
      </w:pPr>
      <m:oMathPara>
        <m:oMath>
          <m:r>
            <m:rPr>
              <m:sty m:val="p"/>
            </m:rPr>
            <m:t>EMAₙ,t = αₙCₜ + (1−αₙ)EMAₙ,t₋₁,    αₙ=2/(n+1)</m:t>
          </m:r>
        </m:oMath>
      </m:oMathPara>
    </w:p>
    <w:p>
      <w:pPr>
        <w:spacing w:before="120" w:after="120"/>
        <w:jc w:val="center"/>
      </w:pPr>
      <m:oMathPara>
        <m:oMath>
          <m:r>
            <m:rPr>
              <m:sty m:val="p"/>
            </m:rPr>
            <m:t>Mₜ = EMA₅,t − EMA₂₀,t</m:t>
          </m:r>
        </m:oMath>
      </m:oMathPara>
    </w:p>
    <w:p>
      <w:pPr>
        <w:spacing w:before="120" w:after="120"/>
        <w:jc w:val="center"/>
      </w:pPr>
      <m:oMathPara>
        <m:oMath>
          <m:r>
            <m:rPr>
              <m:sty m:val="p"/>
            </m:rPr>
            <m:t>Leftₜ = Mₜ−Mₜ₋₅,    Rightₜ = Mₜ₊₅−Mₜ</m:t>
          </m:r>
        </m:oMath>
      </m:oMathPara>
    </w:p>
    <w:p>
      <w:pPr>
        <w:spacing w:before="120" w:after="120"/>
        <w:jc w:val="center"/>
      </w:pPr>
      <m:oMathPara>
        <m:oMath>
          <m:r>
            <m:rPr>
              <m:sty m:val="p"/>
            </m:rPr>
            <m:t>Rawₜ^(peak) = (Leftₜ−Rightₜ)/ATRₜ</m:t>
          </m:r>
        </m:oMath>
      </m:oMathPara>
    </w:p>
    <w:p>
      <w:pPr>
        <w:spacing w:before="120" w:after="120"/>
        <w:jc w:val="center"/>
      </w:pPr>
      <m:oMathPara>
        <m:oMath>
          <m:r>
            <m:rPr>
              <m:sty m:val="p"/>
            </m:rPr>
            <m:t>Rawₜ^(valley) = (Rightₜ−Leftₜ)/ATRₜ</m:t>
          </m:r>
        </m:oMath>
      </m:oMathPara>
    </w:p>
    <w:p>
      <w:pPr>
        <w:spacing w:before="120" w:after="120"/>
        <w:jc w:val="center"/>
      </w:pPr>
      <m:oMathPara>
        <m:oMath>
          <m:r>
            <m:rPr>
              <m:sty m:val="p"/>
            </m:rPr>
            <m:t>Trendₜ^(d) = σ(Rawₜ^(d)),    σ(x)=1/(1+e⁻ˣ)</m:t>
          </m:r>
        </m:oMath>
      </m:oMathPara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波峰逻辑：左侧动量更强、右侧动量转弱时得高分。波谷逻辑相反。代码先把 Raw 截断到 [-40,40] 再做 Sigmoid。序列边缘若缺少 t−5 或 t+5，Raw 填 0，因此趋势分为 0.5，而不是 0。</w:t>
      </w:r>
    </w:p>
    <w:p>
      <w:pPr>
        <w:pStyle w:val="Heading1"/>
        <w:keepNext/>
      </w:pPr>
      <w:r>
        <w:t>7. 分量三：ATR 标准化未来反转</w:t>
      </w:r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对每个未来期限 h∈Q，波峰观察未来最低价相对 Cₜ 的下跌；波谷观察未来最高价相对 Cₜ 的上涨。负方向运动被截为 0。</w:t>
      </w:r>
    </w:p>
    <w:p>
      <w:pPr>
        <w:spacing w:before="120" w:after="120"/>
        <w:jc w:val="center"/>
      </w:pPr>
      <m:oMathPara>
        <m:oMath>
          <m:r>
            <m:rPr>
              <m:sty m:val="p"/>
            </m:rPr>
            <m:t>Eₜ,h^(peak) = max(0, (Cₜ−min₁≤k≤h Lₜ₊k)/ATRₜ)</m:t>
          </m:r>
        </m:oMath>
      </m:oMathPara>
    </w:p>
    <w:p>
      <w:pPr>
        <w:spacing w:before="120" w:after="120"/>
        <w:jc w:val="center"/>
      </w:pPr>
      <m:oMathPara>
        <m:oMath>
          <m:r>
            <m:rPr>
              <m:sty m:val="p"/>
            </m:rPr>
            <m:t>Eₜ,h^(valley) = max(0, (max₁≤k≤h Hₜ₊k−Cₜ)/ATRₜ)</m:t>
          </m:r>
        </m:oMath>
      </m:oMathPara>
    </w:p>
    <w:p>
      <w:pPr>
        <w:spacing w:before="120" w:after="120"/>
        <w:jc w:val="center"/>
      </w:pPr>
      <m:oMathPara>
        <m:oMath>
          <m:r>
            <m:rPr>
              <m:sty m:val="p"/>
            </m:rPr>
            <m:t>Rₜ,h^(d) = 1−exp(−Eₜ,h^(d))</m:t>
          </m:r>
        </m:oMath>
      </m:oMathPara>
    </w:p>
    <w:p>
      <w:pPr>
        <w:spacing w:before="120" w:after="120"/>
        <w:jc w:val="center"/>
      </w:pPr>
      <m:oMathPara>
        <m:oMath>
          <m:r>
            <m:rPr>
              <m:sty m:val="p"/>
            </m:rPr>
            <m:t>Reversalₜ^(d) = (1/4) Σh∈{5,10,20,40} Rₜ,h^(d)</m:t>
          </m:r>
        </m:oMath>
      </m:oMathPara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指数映射把任意非负 ATR 倍数压缩到 [0,1)：1 ATR 对应约 0.632，2 ATR 约 0.865，3 ATR 约 0.950。多个期限取均值，使标签同时考虑短、中、较长周期，而不是只被某一个未来极值决定。</w:t>
      </w:r>
    </w:p>
    <w:p>
      <w:pPr>
        <w:pStyle w:val="Heading1"/>
        <w:keepNext/>
      </w:pPr>
      <w:r>
        <w:t>8. 确认门槛与确认延迟</w:t>
      </w:r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算法以事件日收盘价为基准设置 1 ATR 的方向性门槛。</w:t>
      </w:r>
    </w:p>
    <w:p>
      <w:pPr>
        <w:spacing w:before="120" w:after="120"/>
        <w:jc w:val="center"/>
      </w:pPr>
      <m:oMathPara>
        <m:oMath>
          <m:r>
            <m:rPr>
              <m:sty m:val="p"/>
            </m:rPr>
            <m:t>Bₜ^(peak)=Cₜ−ATRₜ,    Bₜ^(valley)=Cₜ+ATRₜ</m:t>
          </m:r>
        </m:oMath>
      </m:oMathPara>
    </w:p>
    <w:p>
      <w:pPr>
        <w:spacing w:before="120" w:after="120"/>
        <w:jc w:val="center"/>
      </w:pPr>
      <m:oMathPara>
        <m:oMath>
          <m:r>
            <m:rPr>
              <m:sty m:val="p"/>
            </m:rPr>
            <m:t>Dₜ^(peak)=min{k∈[1,40] : Lₜ₊k≤Bₜ^(peak)}</m:t>
          </m:r>
        </m:oMath>
      </m:oMathPara>
    </w:p>
    <w:p>
      <w:pPr>
        <w:spacing w:before="120" w:after="120"/>
        <w:jc w:val="center"/>
      </w:pPr>
      <m:oMathPara>
        <m:oMath>
          <m:r>
            <m:rPr>
              <m:sty m:val="p"/>
            </m:rPr>
            <m:t>Dₜ^(valley)=min{k∈[1,40] : Hₜ₊k≥Bₜ^(valley)}</m:t>
          </m:r>
        </m:oMath>
      </m:oMathPara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D 是确认延迟。40 个交易日内没有触达门槛时，确认延迟为缺失值 NaN。D 只作为诊断输出，不参与最终强度的四分量几何合成。</w:t>
      </w:r>
    </w:p>
    <w:p>
      <w:pPr>
        <w:pStyle w:val="Heading1"/>
        <w:keepNext/>
      </w:pPr>
      <w:r>
        <w:t>9. 分量四：反转持续性</w:t>
      </w:r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只有未来首次越过 1 ATR 门槛后才计算持续性。代码从确认日后的下一根 K 线开始，到第 40 个未来交易日为止，统计收盘价仍位于门槛反转一侧的比例。</w:t>
      </w:r>
    </w:p>
    <w:p>
      <w:pPr>
        <w:spacing w:before="120" w:after="120"/>
        <w:jc w:val="center"/>
      </w:pPr>
      <m:oMathPara>
        <m:oMath>
          <m:r>
            <m:rPr>
              <m:sty m:val="p"/>
            </m:rPr>
            <m:t>Iₜ^(peak)(k)=1[Cₜ₊k≤Bₜ^(peak)]</m:t>
          </m:r>
        </m:oMath>
      </m:oMathPara>
    </w:p>
    <w:p>
      <w:pPr>
        <w:spacing w:before="120" w:after="120"/>
        <w:jc w:val="center"/>
      </w:pPr>
      <m:oMathPara>
        <m:oMath>
          <m:r>
            <m:rPr>
              <m:sty m:val="p"/>
            </m:rPr>
            <m:t>Iₜ^(valley)(k)=1[Cₜ₊k≥Bₜ^(valley)]</m:t>
          </m:r>
        </m:oMath>
      </m:oMathPara>
    </w:p>
    <w:p>
      <w:pPr>
        <w:spacing w:before="120" w:after="120"/>
        <w:jc w:val="center"/>
      </w:pPr>
      <m:oMathPara>
        <m:oMath>
          <m:r>
            <m:rPr>
              <m:sty m:val="p"/>
            </m:rPr>
            <m:t>Persistₜ^(d) = mean{Iₜ^(d)(k) : k=Dₜ^(d)+1,…,40}</m:t>
          </m:r>
        </m:oMath>
      </m:oMathPara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若没有确认，持续性保持 0。若首次确认恰好发生在第 40 日，确认后没有剩余观测，代码将持续性设为 1.0。这是当前实现的明确边界行为，建模时应知悉。</w:t>
      </w:r>
    </w:p>
    <w:p>
      <w:pPr>
        <w:pStyle w:val="Heading1"/>
        <w:keepNext/>
      </w:pPr>
      <w:r>
        <w:t>10. 最终连续强度：平滑几何均值</w:t>
      </w:r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对波峰和波谷分别取四个分量：Local、Trend、Reversal、Persist。每个分量先限制到 [0,1]，再使用 ε=0.02 的平滑几何均值。</w:t>
      </w:r>
    </w:p>
    <w:p>
      <w:pPr>
        <w:spacing w:before="120" w:after="120"/>
        <w:jc w:val="center"/>
      </w:pPr>
      <m:oMathPara>
        <m:oMath>
          <m:r>
            <m:rPr>
              <m:sty m:val="p"/>
            </m:rPr>
            <m:t>Gₜ^(d) = [∏ⱼ₌₁⁴ (Xₜ,j^(d)+ε)]^(1/4)</m:t>
          </m:r>
        </m:oMath>
      </m:oMathPara>
    </w:p>
    <w:p>
      <w:pPr>
        <w:spacing w:before="120" w:after="120"/>
        <w:jc w:val="center"/>
      </w:pPr>
      <m:oMathPara>
        <m:oMath>
          <m:r>
            <m:rPr>
              <m:sty m:val="p"/>
            </m:rPr>
            <m:t>Strengthₜ^(d) = clip((Gₜ^(d)−ε)/(1−ε)),    ε=0.02</m:t>
          </m:r>
        </m:oMath>
      </m:oMathPara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选择几何均值的推理：一个可信的峰或谷应同时具备位置、转折、反向幅度和持续性。算术平均允许单个极高分补偿明显短板；几何均值会对短板施加更强惩罚。ε 防止任一分量为 0 时总分被机械压成绝对 0。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400"/>
        <w:gridCol w:w="1900"/>
        <w:gridCol w:w="3560"/>
      </w:tblGrid>
      <w:tr>
        <w:trPr>
          <w:tblHeader w:val="true"/>
        </w:trPr>
        <w:tc>
          <w:tcPr>
            <w:tcW w:type="dxa" w:w="1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8324A"/>
                <w:sz w:val="19"/>
              </w:rPr>
              <w:t>情形</w:t>
            </w:r>
          </w:p>
        </w:tc>
        <w:tc>
          <w:tcPr>
            <w:tcW w:type="dxa" w:w="2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8324A"/>
                <w:sz w:val="19"/>
              </w:rPr>
              <w:t>四分量示例</w:t>
            </w:r>
          </w:p>
        </w:tc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8324A"/>
                <w:sz w:val="19"/>
              </w:rPr>
              <w:t>平滑强度（约）</w:t>
            </w:r>
          </w:p>
        </w:tc>
        <w:tc>
          <w:tcPr>
            <w:tcW w:type="dxa" w:w="3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8324A"/>
                <w:sz w:val="19"/>
              </w:rPr>
              <w:t>解释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全面较强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0.8 / 0.8 / 0.8 / 0.8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0.82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四项一致，强标签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一个短板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0.9 / 0.9 / 0.9 / 0.1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0.54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短板明显压低总分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没有持续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0.9 / 0.9 / 0.9 / 0.0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0.34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ε 保留弱但非零分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十二个落盘字段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3360"/>
        <w:gridCol w:w="1800"/>
      </w:tblGrid>
      <w:tr>
        <w:trPr>
          <w:tblHeader w:val="true"/>
        </w:trPr>
        <w:tc>
          <w:tcPr>
            <w:tcW w:type="dxa" w:w="4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8324A"/>
                <w:sz w:val="19"/>
              </w:rPr>
              <w:t>中文字段</w:t>
            </w:r>
          </w:p>
        </w:tc>
        <w:tc>
          <w:tcPr>
            <w:tcW w:type="dxa" w:w="3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8324A"/>
                <w:sz w:val="19"/>
              </w:rPr>
              <w:t>内部键</w:t>
            </w:r>
          </w:p>
        </w:tc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8324A"/>
                <w:sz w:val="19"/>
              </w:rPr>
              <w:t>参与总强度</w:t>
            </w:r>
          </w:p>
        </w:tc>
      </w:tr>
      <w:tr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波峰事后连续强度（label专用，有未来数据）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peak_strength_ex_post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最终目标</w:t>
            </w:r>
          </w:p>
        </w:tc>
      </w:tr>
      <w:tr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波谷事后连续强度（label专用，有未来数据）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valley_strength_ex_post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最终目标</w:t>
            </w:r>
          </w:p>
        </w:tc>
      </w:tr>
      <w:tr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波峰/波谷局部高低位分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peak/valley_local_position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是</w:t>
            </w:r>
          </w:p>
        </w:tc>
      </w:tr>
      <w:tr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波峰/波谷趋势转折分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peak/valley_trend_turn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是</w:t>
            </w:r>
          </w:p>
        </w:tc>
      </w:tr>
      <w:tr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波峰/波谷反转强度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peak/valley_reversal_strength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是</w:t>
            </w:r>
          </w:p>
        </w:tc>
      </w:tr>
      <w:tr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波峰/波谷反转持续性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peak/valley_persistence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是</w:t>
            </w:r>
          </w:p>
        </w:tc>
      </w:tr>
      <w:tr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波峰/波谷确认延迟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peak/valley_confirm_delay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否，仅诊断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设计文档曾提到离散 peak_valley_label_v2 可作为兼容派生字段，但当前生产代码实际输出的是上述 12 个连续/诊断字段，并未在本模块中生成离散字段。</w:t>
      </w:r>
    </w:p>
    <w:p>
      <w:pPr>
        <w:pStyle w:val="Heading1"/>
        <w:keepNext/>
      </w:pPr>
      <w:r>
        <w:t>12. 单日推理示例</w:t>
      </w:r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假设某板块在交易日 t 处于明显局部高位，多尺度局部位置为 0.92；动量由强转弱，趋势转折为 0.81；未来多个期限发生约 1 至 2 ATR 回撤，反转强度为 0.76；跨过 1 ATR 门槛后多数收盘仍在门槛下方，持续性为 0.70。</w:t>
      </w:r>
    </w:p>
    <w:p>
      <w:pPr>
        <w:spacing w:before="120" w:after="120"/>
        <w:jc w:val="center"/>
      </w:pPr>
      <m:oMathPara>
        <m:oMath>
          <m:r>
            <m:rPr>
              <m:sty m:val="p"/>
            </m:rPr>
            <m:t>Strengthₜ^(peak) = {[(0.92+.02)(0.81+.02)(0.76+.02)(0.70+.02)]^(1/4)−.02}/.98 ≈ 0.81</m:t>
          </m:r>
        </m:oMath>
      </m:oMathPara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推理结论：它不仅“位置高”，还出现了趋势转折、足够幅度的未来回撤，并且回撤具有持续性，所以是较强波峰 label。反之，如果只是局部高位但未来没有下跌，Reversal 和 Persist 会接近 0，总强度会显著下降。</w:t>
      </w:r>
    </w:p>
    <w:p>
      <w:pPr>
        <w:pStyle w:val="Heading1"/>
        <w:keepNext/>
      </w:pPr>
      <w:r>
        <w:t>13. 用于机器学习时的正确方式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将 peak_strength_ex_post 和 valley_strength_ex_post 分别作为两个连续回归目标；第一版不建议强行合并成三分类。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V2 的全部 12 个字段均不得进入特征矩阵；诊断分量同样含未来信息。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训练、验证、测试必须按时间切分，不能随机打散。V2 最长读取未来 40 日，时间分割处建议增加至少 40 个交易日的 embargo。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样本末端未来路径不完整。当前代码仍会给出部分期限结果，因此训练集应主动剔除数据末尾至少 40 个交易日，避免尾部标签系统性偏低。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0 不是人工负例。评价优先使用秩相关、Top-K 命中率、PR-AUC（若派生事件）以及预测后 5/20/40 日真实反转表现。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881/885/886 板块训练前，应先确认对应板块代码的 V2 label 已实际落盘并与普通因子按 htsc_code + time 对齐。</w:t>
      </w:r>
    </w:p>
    <w:p>
      <w:pPr>
        <w:pStyle w:val="Heading1"/>
        <w:keepNext/>
      </w:pPr>
      <w:r>
        <w:t>14. 可靠性检查清单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8324A"/>
                <w:sz w:val="19"/>
              </w:rPr>
              <w:t>检查项</w:t>
            </w:r>
          </w:p>
        </w:tc>
        <w:tc>
          <w:tcPr>
            <w:tcW w:type="dxa" w:w="6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8324A"/>
                <w:sz w:val="19"/>
              </w:rPr>
              <w:t>通过条件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取值范围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除确认延迟外，所有分量和总强度均在 [0,1]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价格合法性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High 不低于 Low/Close；Low 不高于 High/Close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日期与代码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按 time、htsc_code 去重并对齐；峰谷输入列完全一致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未来泄漏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V2 字段仅出现在 y，不出现在 X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尾部完整性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训练样本距离行情末日不少于 40 个交易日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分布检查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按年份、881/885/886 分类检查长尾、零值率和分位数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增量刷新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依赖未来数据的尾部至少回算 60 根交易日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代码对应关系与结论</w:t>
      </w:r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实现函数 annotate_peak_valley_ex_post 负责单一代码的 12 字段计算；build_peak_valley_expost_v2_label_bundle 按代码循环并组装宽表；generate_peak_valley_v2_labels.py 从股票、指数和 ETF 日线读取 High/Low/Close，再按因子、年、月写入 signal_daily_label。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2"/>
              </w:rPr>
              <w:t xml:space="preserve">一句话总结  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2"/>
              </w:rPr>
              <w:t>V2 用“多尺度位置 + 动量转折 + ATR 标准化未来反转 + 反转持续性”回答：站在未来回看，交易日 t 有多像一个真正形成后续反转的峰或谷。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 w:val="0"/>
          <w:i w:val="0"/>
          <w:color w:val="111111"/>
          <w:sz w:val="22"/>
        </w:rPr>
        <w:t>本说明以当前代码实现为准。若后续调整窗口、ATR 周期、确认门槛、持续性区间或合成方式，应同步更新文档、重新生成历史 label，并保留版本号以避免新旧标签混用。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b w:val="0"/>
        <w:i w:val="0"/>
        <w:color w:val="66727D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微软雅黑"/>
        <w:b w:val="0"/>
        <w:i w:val="0"/>
        <w:color w:val="6672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微软雅黑"/>
        <w:b w:val="0"/>
        <w:i w:val="0"/>
        <w:color w:val="66727D"/>
        <w:sz w:val="17"/>
      </w:rPr>
      <w:t>量化研究技术说明  |  V2 波峰波谷事后连续 Label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720" w:hanging="3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720" w:hanging="360"/>
      <w:contextualSpacing/>
    </w:pPr>
    <w:rPr>
      <w:rFonts w:ascii="微软雅黑" w:hAnsi="微软雅黑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