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SimSun" w:cs="Calibri"/>
          <w:b/>
          <w:color w:val="0B2545"/>
          <w:sz w:val="48"/>
        </w:rPr>
        <w:t>python_venv 项目工程结构说明</w:t>
      </w:r>
    </w:p>
    <w:p>
      <w:pPr>
        <w:spacing w:after="240"/>
      </w:pPr>
      <w:r>
        <w:rPr>
          <w:rFonts w:ascii="Calibri" w:hAnsi="Calibri" w:eastAsia="SimSun" w:cs="Calibri"/>
        </w:rPr>
        <w:t>更新时间：2026-06-26    项目根目录：C:\Users\Administrator\Desktop\python_venv</w:t>
      </w:r>
    </w:p>
    <w:p>
      <w:r>
        <w:rPr>
          <w:rFonts w:ascii="Calibri" w:hAnsi="Calibri" w:eastAsia="SimSun" w:cs="Calibri"/>
          <w:b/>
        </w:rPr>
        <w:t>一句话：</w:t>
      </w:r>
      <w:r>
        <w:rPr>
          <w:rFonts w:ascii="Calibri" w:hAnsi="Calibri" w:eastAsia="SimSun" w:cs="Calibri"/>
        </w:rPr>
        <w:t>工具取数 -&gt; D盘 Parquet -&gt; ZXW因子计算信号 -&gt; signal_daily 落盘 -&gt; 可视化和 backtrader 读取。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c>
          <w:tcPr>
            <w:tcW w:type="dxa" w:w="15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层级</w:t>
            </w:r>
          </w:p>
        </w:tc>
        <w:tc>
          <w:tcPr>
            <w:tcW w:type="dxa" w:w="29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路径 / 目录</w:t>
            </w:r>
          </w:p>
        </w:tc>
        <w:tc>
          <w:tcPr>
            <w:tcW w:type="dxa" w:w="496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作用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数据获取</w:t>
            </w:r>
          </w:p>
        </w:tc>
        <w:tc>
          <w:tcPr>
            <w:tcW w:type="dxa" w:w="29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工具/</w:t>
            </w:r>
          </w:p>
        </w:tc>
        <w:tc>
          <w:tcPr>
            <w:tcW w:type="dxa" w:w="49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QMT/Insight 数据下载、本地计算、分区合并、数据检查。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因子计算</w:t>
            </w:r>
          </w:p>
        </w:tc>
        <w:tc>
          <w:tcPr>
            <w:tcW w:type="dxa" w:w="29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ZXW因子/</w:t>
            </w:r>
          </w:p>
        </w:tc>
        <w:tc>
          <w:tcPr>
            <w:tcW w:type="dxa" w:w="49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技术因子、筹码结构、买入/卖出组合信号，主入口是 ZXW策略技术因子生成.ipynb。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数据落盘</w:t>
            </w:r>
          </w:p>
        </w:tc>
        <w:tc>
          <w:tcPr>
            <w:tcW w:type="dxa" w:w="29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</w:t>
            </w:r>
          </w:p>
        </w:tc>
        <w:tc>
          <w:tcPr>
            <w:tcW w:type="dxa" w:w="49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外部数据根目录，不在 Git 仓库内。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展示回测</w:t>
            </w:r>
          </w:p>
        </w:tc>
        <w:tc>
          <w:tcPr>
            <w:tcW w:type="dxa" w:w="29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可视化/、backtrader/</w:t>
            </w:r>
          </w:p>
        </w:tc>
        <w:tc>
          <w:tcPr>
            <w:tcW w:type="dxa" w:w="49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网页看板、HTTP API、回测任务和策略模型。</w:t>
            </w:r>
          </w:p>
        </w:tc>
      </w:tr>
    </w:tbl>
    <w:p/>
    <w:p>
      <w:pPr>
        <w:pStyle w:val="Heading1"/>
      </w:pPr>
      <w:r>
        <w:rPr>
          <w:rFonts w:ascii="Calibri" w:hAnsi="Calibri" w:eastAsia="SimSun" w:cs="Calibri"/>
        </w:rPr>
        <w:t>当前主数据流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QMT/Insight 脚本从行情、财务、复权、股本等接口或本地缓存取数。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数据写入 D:\database 下的 Hive 风格分区目录，例如 year=YYYY/month=MM/merged.parquet。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ZXW因子 notebook 读取日线、后复权因子、QMT 换手率等数据，计算因子矩阵。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因子结果写入 D:\database\signal_daily，供可视化和回测读取。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500"/>
        <w:gridCol w:w="3760"/>
      </w:tblGrid>
      <w:tr>
        <w:tc>
          <w:tcPr>
            <w:tcW w:type="dxa" w:w="31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数据目录</w:t>
            </w:r>
          </w:p>
        </w:tc>
        <w:tc>
          <w:tcPr>
            <w:tcW w:type="dxa" w:w="25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主要内容</w:t>
            </w:r>
          </w:p>
        </w:tc>
        <w:tc>
          <w:tcPr>
            <w:tcW w:type="dxa" w:w="376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当前用途</w:t>
            </w:r>
          </w:p>
        </w:tc>
      </w:tr>
      <w:tr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D:\database\stock_basic_data_daily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日频 OHLCV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因子计算、可视化、回测基础行情。</w:t>
            </w:r>
          </w:p>
        </w:tc>
      </w:tr>
      <w:tr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D:\database\qmt_turnover_data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本地计算换手率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筹码结构因子等读取 turnover_rate。</w:t>
            </w:r>
          </w:p>
        </w:tc>
      </w:tr>
      <w:tr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D:\database\qmt_company_data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公司/财务/股本数据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Capital 等表用于换手率和后续基本面扩展。</w:t>
            </w:r>
          </w:p>
        </w:tc>
      </w:tr>
      <w:tr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D:\database\stock_adj_daily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复权因子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notebook 使用 backward 后复权处理 OHLC。</w:t>
            </w:r>
          </w:p>
        </w:tc>
      </w:tr>
      <w:tr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D:\database\signal_daily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因子信号长表分区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前端展示、回测读取。</w:t>
            </w:r>
          </w:p>
        </w:tc>
      </w:tr>
    </w:tbl>
    <w:p/>
    <w:p>
      <w:pPr>
        <w:pStyle w:val="Heading1"/>
      </w:pPr>
      <w:r>
        <w:rPr>
          <w:rFonts w:ascii="Calibri" w:hAnsi="Calibri" w:eastAsia="SimSun" w:cs="Calibri"/>
        </w:rPr>
        <w:t>根目录结构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目录</w:t>
            </w:r>
          </w:p>
        </w:tc>
        <w:tc>
          <w:tcPr>
            <w:tcW w:type="dxa" w:w="676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用途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工具/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数据下载、QMT/Insight 拉数、本地 parquet 生成。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ZXW因子/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技术因子、组合信号、主 notebook。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可视化/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K线看板、因子展示、API 服务、网页回测入口。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backtrader/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回测引擎、策略模型、模型注册。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因子分类/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前端因子分组、因子目录、说明。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因子解释/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因子/信号逻辑说明 HTML。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全市场股票代码/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股票池导出结果。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华泰数据获取/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华泰 Insight SDK 示例、接口测试。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相关补充目录。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实盘环境/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实盘相关脚本/配置。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回测数据分析/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回测结果分析。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形态趋势通道因子/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形态/趋势类因子。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筹码分布可视化/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筹码分布展示相关。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数据测试/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数据验证/测试。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docs/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项目文档。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outputs/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输出结果。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temp/、temp_calculated_data/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临时文件和临时计算数据。</w:t>
            </w:r>
          </w:p>
        </w:tc>
      </w:tr>
    </w:tbl>
    <w:p/>
    <w:p>
      <w:pPr>
        <w:pStyle w:val="Heading1"/>
      </w:pPr>
      <w:r>
        <w:rPr>
          <w:rFonts w:ascii="Calibri" w:hAnsi="Calibri" w:eastAsia="SimSun" w:cs="Calibri"/>
        </w:rPr>
        <w:t>工具目录重点脚本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文件</w:t>
            </w:r>
          </w:p>
        </w:tc>
        <w:tc>
          <w:tcPr>
            <w:tcW w:type="dxa" w:w="636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用途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qmt公司数据获取.py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公司、财务、股本等数据；默认 batch-size 已调整为 200。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qmt获得股票日频复权因子.py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复权因子事件/分段数据。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获得股票日频数据.py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QMT 日频 OHLCV，批量取数。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获得股票日频换手率.py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用 QMT 日线 volume + Capital.circulating_capital 本地计算 turnover_rate。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获得股票分钟级数据.py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分钟线数据，当前按单股/窗口逻辑处理。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获得指数日频数据.py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指数日频数据。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获得股票日频复权因子.py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旧/Insight 复权相关脚本，保留但非当前 QMT 主链路。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增量信号保存.py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因子信号增量保存和 merged.parquet 合并。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形态蜡烛信号生成.py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形态蜡烛信号生成。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实时行情写入SQLite.py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实时 tick 写入 SQLite。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各类数据检查.ipynb</w:t>
            </w:r>
          </w:p>
        </w:tc>
        <w:tc>
          <w:tcPr>
            <w:tcW w:type="dxa" w:w="63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本地 parquet 数据检查。</w:t>
            </w:r>
          </w:p>
        </w:tc>
      </w:tr>
    </w:tbl>
    <w:p/>
    <w:p>
      <w:pPr>
        <w:pStyle w:val="Heading1"/>
      </w:pPr>
      <w:r>
        <w:rPr>
          <w:rFonts w:ascii="Calibri" w:hAnsi="Calibri" w:eastAsia="SimSun" w:cs="Calibri"/>
        </w:rPr>
        <w:t>当前因子计算口径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主 notebook：ZXW因子\ZXW策略技术因子生成.ipynb。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价格因子使用后复权 OHLC：ADJ_MODE = "backward"，open/high/low/close 乘 backward_cum_factor。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volume 不复权；换手率从 D:\database\qmt_turnover_data 读取。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QMT 换手率由 volume / circulating_capital * 100 计算，不再依赖 Insight 换手率字段。</w:t>
      </w:r>
    </w:p>
    <w:p>
      <w:pPr>
        <w:pStyle w:val="Heading1"/>
      </w:pPr>
      <w:r>
        <w:rPr>
          <w:rFonts w:ascii="Calibri" w:hAnsi="Calibri" w:eastAsia="SimSun" w:cs="Calibri"/>
        </w:rPr>
        <w:t>常用运行入口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任务</w:t>
            </w:r>
          </w:p>
        </w:tc>
        <w:tc>
          <w:tcPr>
            <w:tcW w:type="dxa" w:w="6760"/>
            <w:shd w:fill="E8EEF5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/>
                <w:sz w:val="20"/>
              </w:rPr>
              <w:t>入口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更新日频行情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.venv\Scripts\python.exe 工具\获得股票日频数据.py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更新公司/股本数据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.venv\Scripts\python.exe 工具\qmt公司数据获取.py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更新换手率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.venv\Scripts\python.exe 工具\获得股票日频换手率.py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生成/更新因子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运行 ZXW因子\ZXW策略技术因子生成.ipynb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打开可视化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rPr>
                <w:rFonts w:ascii="Calibri" w:hAnsi="Calibri" w:eastAsia="SimSun" w:cs="Calibri"/>
              </w:rPr>
            </w:r>
            <w:r>
              <w:rPr>
                <w:rFonts w:ascii="Calibri" w:hAnsi="Calibri" w:eastAsia="SimSun" w:cs="Calibri"/>
                <w:b w:val="0"/>
                <w:sz w:val="20"/>
              </w:rPr>
              <w:t>可视化\start_all.bat，然后访问 http://127.0.0.1:8086/量化因子.html</w:t>
            </w:r>
          </w:p>
        </w:tc>
      </w:tr>
    </w:tbl>
    <w:p/>
    <w:p>
      <w:pPr>
        <w:pStyle w:val="Heading1"/>
      </w:pPr>
      <w:r>
        <w:rPr>
          <w:rFonts w:ascii="Calibri" w:hAnsi="Calibri" w:eastAsia="SimSun" w:cs="Calibri"/>
        </w:rPr>
        <w:t>维护注意事项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改 D:\database 路径时，需要全仓库搜索旧路径，尤其是 notebook 字符串。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不要把 Insight 账号密码写入仓库或新脚本。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因子列名变更时，需要同步 notebook、因子分类、前端读取映射。</w:t>
      </w:r>
    </w:p>
    <w:p>
      <w:pPr>
        <w:pStyle w:val="ListBullet"/>
        <w:spacing w:after="80"/>
      </w:pPr>
      <w:r>
        <w:rPr>
          <w:rFonts w:ascii="Calibri" w:hAnsi="Calibri" w:eastAsia="SimSun" w:cs="Calibri"/>
        </w:rPr>
        <w:t>历史/实验目录默认不要清理，除非明确确认已经不用。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imSun" w:cs="Calibri"/>
      </w:rPr>
      <w:t>python_venv 项目工程结构说明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SimSun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SimSun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SimSun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SimSun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SimSun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SimSun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SimSun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SimSun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SimSun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SimSun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SimSun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SimSun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SimSun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imSun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SimSun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imSun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SimSun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SimSun" w:cs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SimSun" w:cs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SimSun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SimSun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SimSun" w:cs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SimSun" w:cs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SimSun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SimSun" w:cs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SimSun" w:cs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SimSun" w:cs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SimSun" w:cs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SimSun" w:cs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SimSun" w:cs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SimSun" w:cs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SimSun" w:cs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SimSun" w:cs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SimSun" w:cs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