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B2C52"/>
          <w:sz w:val="44"/>
        </w:rPr>
        <w:t>Chemistry Lab: Computational Chemistry Suite</w:t>
      </w:r>
    </w:p>
    <w:p>
      <w:pPr>
        <w:spacing w:after="240"/>
      </w:pPr>
      <w:r>
        <w:rPr>
          <w:rFonts w:ascii="Calibri" w:hAnsi="Calibri"/>
          <w:i/>
          <w:color w:val="0F766E"/>
          <w:sz w:val="24"/>
        </w:rPr>
        <w:t>Comprehensive Academic User Manual, Theoretical Foundations &amp; Technical Reference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88" w:lineRule="auto"/>
            </w:pPr>
            <w:r>
              <w:rPr>
                <w:rFonts w:ascii="Calibri" w:hAnsi="Calibri"/>
                <w:b/>
                <w:color w:val="0B2C52"/>
                <w:sz w:val="18"/>
              </w:rPr>
              <w:t xml:space="preserve">Principal Author &amp; Developer: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ABDULSALAM S. HASAN (Mosul, Iraq)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Academic Target Software: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ORCA 6.1 / 6.0 Program Package (FACCTs GmbH / Max Planck Institute)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Platform Architecture: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Three Unified Studios (Draw Chemistry • ORCA Calculations &amp; Jobs • Quantum Engine &amp; Thermochemistry)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License &amp; Access: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Academic and Non-Commercial Research Suite (ORCA Web Lab License v1.1) • Zero Server Retention Policy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Manual Release: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Version 1.0 (Comprehensive Academic Edition) | Last Updated: 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1. Platform Overview &amp; The Three Unified Studios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Chemistry Lab is a full-stack, cloud-orchestrated computational chemistry suite developed to bridge the gap between advanced ab initio quantum chemical software (ORCA 6.1) and intuitive, publication-grade web exploration. The platform eliminates traditional command-line configuration hurdles while maintaining strict physical rigor, standard spectroscopic conventions, and reproducible quantum mechanical workflows.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The Three Unified Studios Model: </w:t>
      </w:r>
      <w:r>
        <w:rPr>
          <w:rFonts w:ascii="Calibri" w:hAnsi="Calibri"/>
          <w:color w:val="1E293B"/>
          <w:sz w:val="20"/>
        </w:rPr>
        <w:t>The system is organized around Three Unified Studios accessible from the central navigation hub: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1: Draw Chemistry (Chemoinformatics &amp; Reaction Engineering):</w:t>
      </w:r>
      <w:r>
        <w:rPr>
          <w:rFonts w:ascii="Calibri" w:hAnsi="Calibri"/>
          <w:color w:val="1E293B"/>
          <w:sz w:val="20"/>
        </w:rPr>
        <w:t xml:space="preserve"> Interactive chemical structure sketcher, automated SMILES/InChI/IUPAC compound resolver via PubChem REST APIs, 3D conformer generation via Universal Force Field (UFF/MMFF94) minimization, collision-free multi-fragment offset positioning, and multi-component reaction balancing with vector SVG / MDL RXN V2000 export.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2: ORCA Calculations &amp; Jobs (Generator &amp; Cloud HPC Orchestrator):</w:t>
      </w:r>
      <w:r>
        <w:rPr>
          <w:rFonts w:ascii="Calibri" w:hAnsi="Calibri"/>
          <w:color w:val="1E293B"/>
          <w:sz w:val="20"/>
        </w:rPr>
        <w:t xml:space="preserve"> Sequential input generator for ORCA 6.1 keywords and blocks, multi-step chained calculation workflows (e.g., Opt -&gt; High-Opt -&gt; Freq -&gt; SP), high-precision coordinate inheritance, and automated cloud HPC execution via user-owned Kaggle accounts with a 5-job concurrency governor and session watchdog auto-recovery.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3: Quantum Engine &amp; Thermochemistry (Spectroscopy &amp; Scientific Audit):</w:t>
      </w:r>
      <w:r>
        <w:rPr>
          <w:rFonts w:ascii="Calibri" w:hAnsi="Calibri"/>
          <w:color w:val="1E293B"/>
          <w:sz w:val="20"/>
        </w:rPr>
        <w:t xml:space="preserve"> High-throughput output log parsing, interactive 3D WebGL molecular geometry rendering, Mulliken/Löwdin/Hirshfeld partial charge mapping, HOMO-LUMO frontier orbital gaps, UV-Vis electronic absorption convolution with experimental overlays, FTIR vibrational spectra with transmittance/absorbance toggles, Conceptual DFT (CDFT) reactivity descriptors, Grimme's Quasi-RRHO thermochemistry, and Bond Dissociation Energies (BDE).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C52"/>
                <w:sz w:val="19"/>
              </w:rPr>
              <w:t xml:space="preserve">📌 PRIVACY &amp; EPHEMERAL ARCHITECTURE: </w:t>
            </w:r>
            <w:r>
              <w:rPr>
                <w:rFonts w:ascii="Calibri" w:hAnsi="Calibri"/>
                <w:color w:val="1E293B"/>
                <w:sz w:val="19"/>
              </w:rPr>
              <w:t>Chemistry Lab operates under a strict Zero-Retention Privacy Policy. All Kaggle API credentials, inputs, coordinates, and computation results remain in transient browser storage (localStorage/sessionStorage). No user data or credentials are stored or monetized on any server database.</w:t>
            </w:r>
          </w:p>
        </w:tc>
      </w:tr>
    </w:tbl>
    <w:p>
      <w:pPr>
        <w:spacing w:after="6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2. Studio 1: Chemoinformatics, 2D Structure Drawing &amp; Reaction Schemes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1 provides a seamless environment for preparing chemical structures and reaction equations before submission to quantum calculations. It is powered by RDKit backend libraries and an interactive vector canvas.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2.1 Molecule Explorer &amp; Chemical Identifier Translation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Translates IUPAC names, common names, isomeric SMILES, and InChI/InChIKey identifiers into chemical graphs.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Fetches live structural and physical property data from PubChem, including Molecular Weight (MW), Exact Mass, XLogP3, Topological Polar Surface Area (TPSA), Formal Charge, Heavy Atom Count, and H-Bond Donors/Acceptors.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Instant 2D-to-3D embedding using distance geometry algorithms with MMFF94 force-field relaxation.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2.2 2D Drawing Canvas &amp; Multi-Theme Publication Graphics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Draw bonds, rings (benzene, cyclohexane, cyclopentane), heteroatoms, stereochemical wedges, and charges with clean snap-to-grid alignment.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vector graphics (SVG) with customizable themes: Pure White (print publishing), Dark Slate (presentations), and Transparent (compositing).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Direct export to MDL Molfile V2000, SD file (.sdf), and Daylight SMILES compatible with ChemDraw, MarvinSketch, and Reaxys.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2.3 Collision-Free Multi-Fragment Positioning &amp; Force Field Relaxation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assembling bimolecular complexes, solute-solvent clusters, or catalyst-substrate adducts, the system computes the Van der Waals bounding envelopes and applies an iterative collision-free offset along the X/Y axes (minimum clearance &gt;= 2.8 Å). A Universal Force Field (UFF) pre-relaxation step eliminates unphysical steric clashes prior to ab initio optimization.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2.4 Multi-Component Reaction Schemes &amp; Stoichiometric Balancing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Formulate multi-component chemical reactions (e.g., '2 C6H6 + 15 O2 -&gt; 12 CO2 + 6 H2O').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Automated algebraic mass and atom conservation verification ensuring every element and charge balances across reactants and products.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publication-quality reaction schemes in MDL RXN V2000 format.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3. Studio 2: ORCA 6.1 Advanced Input Generation Wizard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The ORCA 6.1 Input Generator follows a validated, multi-step sequential wizard model. It guarantees that generated ORCA input files (.inp) strictly obey ORCA syntax without syntax errors, unrecognized keywords, or silent parameter regressions.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3.1 Theoretical Methods &amp; Functional Taxonomy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Density Functional Theory (3c Methods): </w:t>
      </w:r>
      <w:r>
        <w:rPr>
          <w:rFonts w:ascii="Calibri" w:hAnsi="Calibri"/>
          <w:color w:val="1E293B"/>
          <w:sz w:val="20"/>
        </w:rPr>
        <w:t xml:space="preserve"> r2SCAN-3c, B97-3c, PBEh-3c, HF-3c, wB97X-3c. These composite approaches evaluate geometry optimizations and vibrational frequencies at high speed while correcting for basis set superposition error (gCP) and dispersion interactions (D3/D4).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Standard &amp; Range-Separated Hybrids (DFT): </w:t>
      </w:r>
      <w:r>
        <w:rPr>
          <w:rFonts w:ascii="Calibri" w:hAnsi="Calibri"/>
          <w:color w:val="1E293B"/>
          <w:sz w:val="20"/>
        </w:rPr>
        <w:t xml:space="preserve"> B3LYP, PBE0, TPSSh, PW6B95, M06-2X (standard hybrids); CAM-B3LYP, wB97X-D4, wB97M-V, wB97X-V (range-separated hybrids); PBE, BP86, BLYP, r2SCAN, TPSS (pure GGA and meta-GGA).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Double-Hybrid Functionals: </w:t>
      </w:r>
      <w:r>
        <w:rPr>
          <w:rFonts w:ascii="Calibri" w:hAnsi="Calibri"/>
          <w:color w:val="1E293B"/>
          <w:sz w:val="20"/>
        </w:rPr>
        <w:t xml:space="preserve"> B2PLYP, DSD-PBEP86, DSD-BLYP. Automatically generates the appropriate auxiliary basis sets (RI-JK and AutoAux).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Correlated Post-Hartree-Fock Methods: </w:t>
      </w:r>
      <w:r>
        <w:rPr>
          <w:rFonts w:ascii="Calibri" w:hAnsi="Calibri"/>
          <w:color w:val="1E293B"/>
          <w:sz w:val="20"/>
        </w:rPr>
        <w:t xml:space="preserve"> Canonical MP2, RI-MP2, DLPNO-MP2, CCSD, CCSD(T), and DLPNO-CCSD(T). Enables gold-standard wavefunction benchmark calculations.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3.2 Systematic Basis Set Selection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Karlsruhe segmented def2 family: def2-SVP, def2-SVPD, def2-TZVP, def2-TZVPD, def2-TZVPP, def2-QZVPP, ma-def2-SVP, ma-def2-TZVP.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Jensen Polarization-Consistent family: pcseg-1, pcseg-2, pcseg-3, aug-pcseg-1, aug-pcseg-2 (optimized for DFT energy convergence).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Dunning Correlation-Consistent family: cc-pVDZ, aug-cc-pVDZ, cc-pVTZ, aug-cc-pVTZ, cc-pVQZ (for correlated wavefunction extrapolation).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Pople 6-31G family: 6-31G(d), 6-31+G(d,p), 6-311G(d,p), 6-311++G(2df,2pd).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Relativistic Recontracted Sets: x2c-SVPall, x2c-TZVPall, x2c-TZVPPall, SARC-ZORA-TZVP for heavy transition metals and actinides.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Magnetic &amp; Property Sets: IGLO-III, pcJ-2, EPR-II, EPR-III for NMR chemical shielding tensors and EPR hyperfine couplings.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3.3 Relativistic Hamiltonians &amp; Solvation Models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Scalar Relativistic Hamiltonians: Exact Two-Component (X2C), Zeroth-Order Regular Approximation (ZORA), and Douglas-Kroll-Hess (DKH).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Implicit Solvation Models: Conductor-like Polarizable Continuum Model (CPCM) and Solvation Model based on Density (SMD).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19 Parameter-Verified Solvents: Water, Acetonitrile, Methanol, Ethanol, Acetone, DCM, Chloroform, THF, DMSO, DMF, Toluene, Benzene, Hexane, Cyclohexane, DiethylEther, 1,4-Dioxane, CarbonTetrachloride, EthylAcetate, Pyridine.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3.4 Hardware Resource Management &amp; Safety Budgeting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Parallel Core Scaling: Configurable `%pal nprocs N end` for multi-threaded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MaxCore RAM Clamping: `%maxcore M` dynamically clamped to Kaggle's safe memory threshold (6000 MB per core) to prevent kernel out-of-memory crashes.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Scratch Disk Safety: `%maxdisk` safety guardrails preventing disk saturation.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4. Studio 2: Multi-Stage Chained Workflows &amp; Cloud Orchestration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A flagship capability of Chemistry Lab is the automated execution of chained multi-step computational workflows across remote Kaggle GPU/CPU instances with full fault tolerance and lossless coordinate inheritance.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4.1 Multi-Stage Workflow Automation Pipeline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Standard 4-Stage Protocol: </w:t>
      </w:r>
      <w:r>
        <w:rPr>
          <w:rFonts w:ascii="Calibri" w:hAnsi="Calibri"/>
          <w:color w:val="1E293B"/>
          <w:sz w:val="20"/>
        </w:rPr>
        <w:t>Typical high-level quantum chemistry protocols require multi-tier calculation sequences. For example: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1: Low-level rapid structural pre-optimization (e.g., ! B97-3c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2: High-level DFT geometry optimization (e.g., ! wB97X-D4 def2-TZVP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3: Harmonic vibrational frequency analysis &amp; thermochemistry (e.g., ! wB97X-D4 def2-TZVP Freq).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4: High-accuracy single-point electronic energy (e.g., ! DLPNO-CCSD(T) def2-QZVPP SP).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4.2 The Latest-OPT Stage Coordinate Inheritance Algorithm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In traditional workflow managers, Stage N blindly requests coordinates from Stage N-1. However, in scientific protocols, Stage 3 (Freq) or Stage 4 (SP) does not perform geometry optimization and does not yield a new `.opt.xyz` coordinate file. If Stage 4 attempts to extract coordinates from Stage 3 (Freq), the job chain would fail.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Algorithmic Solution: </w:t>
      </w:r>
      <w:r>
        <w:rPr>
          <w:rFonts w:ascii="Calibri" w:hAnsi="Calibri"/>
          <w:color w:val="1E293B"/>
          <w:sz w:val="20"/>
        </w:rPr>
        <w:t>Chemistry Lab implements the Latest-OPT Stage Inheritance Algorithm (getWorkflowOptimizedCoords):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When Stage N is promoted from the waiting dependency queue, the system inspects all predecessor stages (Stage N-1 down to Stage 1).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identifies the most recent predecessor stage that performed geometry optimization (Opt, OptTS) or has cached optimized coordinates.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extracts the optimized Cartesian coordinates from that Opt stage and injects them directly into Stage N's input file.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 extracted coordinates are cached in local browser state, allowing instant re-use across all subsequent stages without network overhead.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4.3 Lossless Full Decimal Precision Preservation (10+ Decimals)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Standard web tools round coordinates to 6 decimal places (`12.6f`), causing artificial structural strain and gradient spikes in subsequent high-level coupled-cluster or tight SCF runs. Chemistry Lab eliminates all coordinate truncation: Cartesian tokens are extracted verbatim from ORCA logs and `.xyz` files with 10 to 14 decimal places (e.g., `0.117289123456 Å`), preserving complete quantum geometric fidelity across the entire chain.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4.4 Kaggle Cloud HPC Execution, Queue Governor &amp; Auto-Recovery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Queue Governor: Limits concurrent active Kaggle jobs to 5 slots, automatically dispatching queued stages as active jobs finish.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Watchdog Auto-Recovery: Automatically handles long-running jobs approaching Kaggle's 12-hour session limit, re-launching from the latest converged `.opt.xyz` geometry.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Fast Essential Mode vs. Full Mode: Allows researchers on slow or metered internet connections to download essential outputs (.out, .xyz, .property.txt, .inp &lt; 1 MB) instantly, while filtering out multi-gigabyte `.gbw` wavefunctions.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Native File System Access: Direct browser file streaming bypassing third-party download interceptors (IDM).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5. Studio 3: Quantum Engine, Spectroscopy &amp; Thermochemical Audit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3 delivers a state-of-the-art post-processing environment for analyzing ORCA output files (.out, .log, and .zip archives). It provides real-time streaming log parsing, 3D visualization, spectral convolution, and multi-component reaction thermodynamics.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5.1 3D Molecular Geometry &amp; Orbital Visualizer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High-performance WebGL 3D molecular canvas (3Dmol.js) with Ball-and-Stick, Wireframe, and Space-Filling (VDW) modes.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Atomic Partial Charges: Instant extraction and color mapping of Mulliken, Löwdin, and CHELPG charges.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MultiWfn .crg Integration: Direct upload of Hirshfeld and ADCH charge files (.crg) produced by Multiwfn to render electrostatic potential (ESP) surfaces.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5.2 Frontier Molecular Orbitals &amp; Conceptual DFT (CDFT)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Extracts spatial energy eigenvalues for Highest Occupied (HOMO) and Lowest Unoccupied (LUMO) molecular orbitals, and computes global reactivity descriptors grounded in conceptual density functional theory: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HOMO-LUMO Bandgap: </w:t>
      </w:r>
      <w:r>
        <w:rPr>
          <w:rFonts w:ascii="Calibri" w:hAnsi="Calibri"/>
          <w:color w:val="1E293B"/>
          <w:sz w:val="20"/>
        </w:rPr>
        <w:t xml:space="preserve"> Energy difference ΔEgap = |ELUMO - EHOMO| in eV and kcal/mol.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IP &amp; EA: </w:t>
      </w:r>
      <w:r>
        <w:rPr>
          <w:rFonts w:ascii="Calibri" w:hAnsi="Calibri"/>
          <w:color w:val="1E293B"/>
          <w:sz w:val="20"/>
        </w:rPr>
        <w:t xml:space="preserve"> Approximate Ionization Potential IP ≈ -EHOMO and Electron Affinity EA ≈ -ELUMO (Koopmans/Janak theorem).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Hardness (η) &amp; Softness (S): </w:t>
      </w:r>
      <w:r>
        <w:rPr>
          <w:rFonts w:ascii="Calibri" w:hAnsi="Calibri"/>
          <w:color w:val="1E293B"/>
          <w:sz w:val="20"/>
        </w:rPr>
        <w:t xml:space="preserve"> Global Hardness η = (IP - EA)/2 and Global Softness S = 1/(2η).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Potential (μ) &amp; Electronegativity (χ): </w:t>
      </w:r>
      <w:r>
        <w:rPr>
          <w:rFonts w:ascii="Calibri" w:hAnsi="Calibri"/>
          <w:color w:val="1E293B"/>
          <w:sz w:val="20"/>
        </w:rPr>
        <w:t xml:space="preserve"> Electronic Chemical Potential μ = -(IP + EA)/2 and Electronegativity χ = -μ.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Electrophilicity Index (ω): </w:t>
      </w:r>
      <w:r>
        <w:rPr>
          <w:rFonts w:ascii="Calibri" w:hAnsi="Calibri"/>
          <w:color w:val="1E293B"/>
          <w:sz w:val="20"/>
        </w:rPr>
        <w:t xml:space="preserve"> Electrophilicity Index ω = μ² / (2η), measuring electrophilic stabilization capacity.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Nucleophilicity Index (N): </w:t>
      </w:r>
      <w:r>
        <w:rPr>
          <w:rFonts w:ascii="Calibri" w:hAnsi="Calibri"/>
          <w:color w:val="1E293B"/>
          <w:sz w:val="20"/>
        </w:rPr>
        <w:t xml:space="preserve"> Nucleophilicity Index N = EHOMO(Nu) - EHOMO(TCE), referenced against tetracyanoethylene.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5.3 UV-Vis Electronic Absorption Spectroscopy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Theoretical TD-DFT convolution using Gaussian peak broadening with adjustable FWHM (σ, 5 to 50 nm).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Solvent Wavelength Calibration Shift (Δλ, -100 to +100 nm) to correct for empirical dielectric and solvent bath shifts.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Interactive display showing vertical excitation sticks (oscillator strengths fosc) and molar absorption coefficient (ε in L·mol⁻¹·cm⁻¹).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Multi-trace experimental overlay (.xlsx, .csv, .txt) with strict mathematical immutability: experimental traces are never altered by theoretical shift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High-resolution PNG and CSV tabular export.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5.4 Vibrational FTIR Spectroscopic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vibrational frequency convolution using physical Lorentzian line shapes (FWHM γ) from normal mode transition dipole moments (T² in km/mol).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Standard spectroscopic axis: Wavenumber descending from 4000 cm⁻¹ (left) to 400 cm⁻¹ (right).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Dual Photometric Mode: Instant toggle between Transmittance (%T, downward bands) and Absorbance (AU, upward peaks).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Scaling Factor: Slider control (0.800 to 1.100) to account for vibrational anharmonicity and basis set truncation.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Imaginary Frequency TS Verification: Flags imaginary vibrational modes (ν &lt; 0 cm⁻¹) indicating a transition state (first-order saddle point) vs. a true local minimum.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5.5 Two-Box Reaction Thermochemistry &amp; Equilibrium Engine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Evaluates chemical reaction thermodynamics by partitioning total energies into electronic and thermal contributions at arbitrary user-defined temperatures (T) and pressures (P):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Electronic Reaction Energy (ΔEelec): </w:t>
      </w:r>
      <w:r>
        <w:rPr>
          <w:rFonts w:ascii="Calibri" w:hAnsi="Calibri"/>
          <w:color w:val="1E293B"/>
          <w:sz w:val="20"/>
        </w:rPr>
        <w:t xml:space="preserve"> Electronic energy change ΔEelec = Σ(n·E_prod) - Σ(m·E_react).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Zero-Point Corrected Energy (ΔE0): </w:t>
      </w:r>
      <w:r>
        <w:rPr>
          <w:rFonts w:ascii="Calibri" w:hAnsi="Calibri"/>
          <w:color w:val="1E293B"/>
          <w:sz w:val="20"/>
        </w:rPr>
        <w:t xml:space="preserve"> Zero-point corrected energy ΔE0 = ΔEelec + ΔZPE.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Enthalpy of Reaction (ΔH°): </w:t>
      </w:r>
      <w:r>
        <w:rPr>
          <w:rFonts w:ascii="Calibri" w:hAnsi="Calibri"/>
          <w:color w:val="1E293B"/>
          <w:sz w:val="20"/>
        </w:rPr>
        <w:t xml:space="preserve"> Standard Enthalpy of reaction ΔH°(T) = ΔE0 + ΔH_thermal.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Gibbs Free Energy (ΔG°): </w:t>
      </w:r>
      <w:r>
        <w:rPr>
          <w:rFonts w:ascii="Calibri" w:hAnsi="Calibri"/>
          <w:color w:val="1E293B"/>
          <w:sz w:val="20"/>
        </w:rPr>
        <w:t xml:space="preserve"> Standard Gibbs Free Energy of reaction ΔG°(T) = ΔH°(T) - T·ΔS°(T).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Entropy of Reaction (ΔS°): </w:t>
      </w:r>
      <w:r>
        <w:rPr>
          <w:rFonts w:ascii="Calibri" w:hAnsi="Calibri"/>
          <w:color w:val="1E293B"/>
          <w:sz w:val="20"/>
        </w:rPr>
        <w:t xml:space="preserve"> Standard Entropy of reaction ΔS°(T) = (ΔH° - ΔG°) / T, precisely converted to cal/(mol·K) and SI units J/(mol·K) (where 1 cal = 4.184 J).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Equilibrium Constant (Keq): </w:t>
      </w:r>
      <w:r>
        <w:rPr>
          <w:rFonts w:ascii="Calibri" w:hAnsi="Calibri"/>
          <w:color w:val="1E293B"/>
          <w:sz w:val="20"/>
        </w:rPr>
        <w:t xml:space="preserve"> Thermodynamic Equilibrium Constant Keq = exp(-ΔG° / RT) with numerical underflow/overflow bounds checking.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Quasi-RRHO Entropy: </w:t>
      </w:r>
      <w:r>
        <w:rPr>
          <w:rFonts w:ascii="Calibri" w:hAnsi="Calibri"/>
          <w:color w:val="1E293B"/>
          <w:sz w:val="20"/>
        </w:rPr>
        <w:t xml:space="preserve"> Grimme's Quasi-RRHO (Rigid-Rotor Harmonic-Oscillator) interpolation for low-frequency vibrational entropy corrections.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Bond Dissociation Energy (BDE): </w:t>
      </w:r>
      <w:r>
        <w:rPr>
          <w:rFonts w:ascii="Calibri" w:hAnsi="Calibri"/>
          <w:color w:val="1E293B"/>
          <w:sz w:val="20"/>
        </w:rPr>
        <w:t xml:space="preserve"> Automated Bond Dissociation Energy (BDE) calculation for homolytic and heterolytic bond cleavage.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5.6 Scientific Consistency &amp; Quality Audit Engine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Automated Quality Checks: </w:t>
      </w:r>
      <w:r>
        <w:rPr>
          <w:rFonts w:ascii="Calibri" w:hAnsi="Calibri"/>
          <w:color w:val="1E293B"/>
          <w:sz w:val="20"/>
        </w:rPr>
        <w:t>To prevent invalid thermodynamic comparisons, the Audit Engine automatically inspects all participating species in a reaction: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Stoichiometric atom and charge balance check.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Level of theory audit: Flags discrepancies in DFT functionals (e.g., mixing B3LYP with PBE0).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Basis set consistency audit: Flags mixed basis set qualities (e.g., def2-SVP vs def2-TZVP).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Solvation model &amp; dielectric check: Ensures all species share identical solvent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Temperature &amp; pressure synchronization check.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6. Troubleshooting, Best Practices &amp; Scientific FAQ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6.1 Resolving SCF Convergence Failures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Difficult transition metal complexes or open-shell radical systems may exhibit oscillating SCF cycles. Recommended keywords: `! VeryTightSCF SlowConv KDIIS SOSCF`.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Ensure initial geometries are reasonable: run an initial force field or B97-3c pre-optimization before submitting high-level hybrid DFT.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6.2 Preventing Kaggle Memory / Disk Allocation Errors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Keep `%maxcore` within 5000-6000 MB per core for 4-core jobs. Total memory must not exceed 24,000 MB (Kaggle limit is 30 GB).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Use `mode='essential'` when downloading results if bandwidth is limited; this eliminates heavy scratch wavefunctions (`.gbw`).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6.3 Transition State Optimization (OptTS) &amp; Frequency Verification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Always verify that an `OptTS` calculation produces exactly one imaginary frequency (e.g., `-342.5 cm⁻¹`).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Follow with an Intrinsic Reaction Coordinate (IRC) calculation to confirm the TS connects the correct reactant and product wells.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7. Academic Citation Guide &amp; Scientific Attribution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publishing research, articles, or computational datasets obtained using Chemistry Lab, please include the following academic citations for the platform and the underlying software packages: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7.1 How to Cite Chemistry 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BibTeX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@software{Hasan2026ChemistryLab,</w:t>
              <w:br/>
              <w:t xml:space="preserve">  author       = {Hasan, Abdulsalam S.},</w:t>
              <w:br/>
              <w:t xml:space="preserve">  title        = {{Chemistry Lab: A Web-Based Computational Chemistry Platform}},</w:t>
              <w:br/>
              <w:t xml:space="preserve">  year         = {2026},</w:t>
              <w:br/>
              <w:t xml:space="preserve">  version      = {1.0.2},</w:t>
              <w:br/>
              <w:t xml:space="preserve">  url          = {https://github.com/abd19990044-commits/chemistry-web-lab},</w:t>
              <w:br/>
              <w:t xml:space="preserve">  note         = {Compatible with ORCA 6.1 program system}</w:t>
              <w:br/>
              <w:t>}</w:t>
            </w:r>
          </w:p>
        </w:tc>
      </w:tr>
    </w:tbl>
    <w:p>
      <w:pPr>
        <w:spacing w:after="60"/>
      </w:pP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ACS / Vancouver Chemistry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Chemistry Lab, version 1.0.2; Advanced Computational Chemistry &amp; Spectroscopic Analysis Platform, 2026. https://github.com/abd19990044-commits/chemistry-web-lab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APA 7th Edition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(2026). Chemistry Lab: A Web-Based Computational Chemistry Platform (Version 1.0.2) [Computer software]. Retrieved from https://github.com/abd19990044-commits/chemistry-web-lab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7.2 Underlying Scientific Packages &amp; Theoretical References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ORCA Electronic Structure Package: </w:t>
      </w:r>
      <w:r>
        <w:rPr>
          <w:rFonts w:ascii="Calibri" w:hAnsi="Calibri"/>
          <w:color w:val="1E293B"/>
          <w:sz w:val="20"/>
        </w:rPr>
        <w:t xml:space="preserve"> Neese, F. (2022). Software update: The ORCA program system - Version 5.0. WIREs Comput. Mol. Sci., 12(5), e1606. / Neese, F. et al. (2026). The ORCA Quantum Chemistry Program System (Version 6.1).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RDKit Chemoinformatics Library: </w:t>
      </w:r>
      <w:r>
        <w:rPr>
          <w:rFonts w:ascii="Calibri" w:hAnsi="Calibri"/>
          <w:color w:val="1E293B"/>
          <w:sz w:val="20"/>
        </w:rPr>
        <w:t xml:space="preserve"> Landrum, G. et al. (2026). RDKit: Open-source cheminformatics and machine learning toolkit. http://www.rdkit.org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3Dmol.js WebGL Visualizer: </w:t>
      </w:r>
      <w:r>
        <w:rPr>
          <w:rFonts w:ascii="Calibri" w:hAnsi="Calibri"/>
          <w:color w:val="1E293B"/>
          <w:sz w:val="20"/>
        </w:rPr>
        <w:t xml:space="preserve"> Rego, N., &amp; Koes, D. (2015). 3Dmol.js: molecular visualization with WebGL. Bioinformatics, 31(8), 1322-1324.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MultiWfn Wavefunction Analyzer: </w:t>
      </w:r>
      <w:r>
        <w:rPr>
          <w:rFonts w:ascii="Calibri" w:hAnsi="Calibri"/>
          <w:color w:val="1E293B"/>
          <w:sz w:val="20"/>
        </w:rPr>
        <w:t xml:space="preserve"> Lu, T., &amp; Chen, F. (2012). Multiwfn: A multifunctional wavefunction analyzer. J. Comput. Chem., 33(5), 580-592.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Dispersion Corrections (DFT-D3/D4): </w:t>
      </w:r>
      <w:r>
        <w:rPr>
          <w:rFonts w:ascii="Calibri" w:hAnsi="Calibri"/>
          <w:color w:val="1E293B"/>
          <w:sz w:val="20"/>
        </w:rPr>
        <w:t xml:space="preserve"> Grimme, S., Antony, J., Ehrlich, S., &amp; Krieg, H. (2010). A consistent and accurate ab initio parametrization of density functional dispersion correction (DFT-D3). J. Chem. Phys., 132(15), 154104.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Quasi-RRHO Thermochemistry: </w:t>
      </w:r>
      <w:r>
        <w:rPr>
          <w:rFonts w:ascii="Calibri" w:hAnsi="Calibri"/>
          <w:color w:val="1E293B"/>
          <w:sz w:val="20"/>
        </w:rPr>
        <w:t xml:space="preserve"> Grimme, S. (2012). An improved modified rigid-rotor-harmonic-oscillator (quasi-RRHO) model for calculating entropy corrections. Chem. Eur. J., 18(32), 9955-9964.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Methods (r2SCAN-3c, B97-3c): </w:t>
      </w:r>
      <w:r>
        <w:rPr>
          <w:rFonts w:ascii="Calibri" w:hAnsi="Calibri"/>
          <w:color w:val="1E293B"/>
          <w:sz w:val="20"/>
        </w:rPr>
        <w:t xml:space="preserve"> Grimme, S., Bannwarth, C., &amp; Shushkov, P. (2017). A robust and accurate tight-binding quantum chemical method for structures, vibrational frequencies, and noncovalent interactions. J. Chem. Theory Comput., 13(5), 1989-2009.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E6E6E"/>
        <w:sz w:val="17"/>
      </w:rPr>
      <w:t>Chemistry Lab • Developed by ABDULSALAM S. HASAN • Compatible with ORCA 6.1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E6E6E"/>
        <w:sz w:val="17"/>
      </w:rPr>
      <w:t>Chemistry Lab - Academic User Manual &amp; Technical 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