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/>
          <w:b/>
          <w:color w:val="0B2C52"/>
          <w:sz w:val="44"/>
        </w:rPr>
        <w:t>Chemistry Lab: Computational Chemistry Suite</w:t>
      </w:r>
    </w:p>
    <w:p>
      <w:pPr>
        <w:spacing w:after="240"/>
      </w:pPr>
      <w:r>
        <w:rPr>
          <w:rFonts w:ascii="Calibri" w:hAnsi="Calibri"/>
          <w:i/>
          <w:color w:val="0F766E"/>
          <w:sz w:val="24"/>
        </w:rPr>
        <w:t>Comprehensive Academic User Manual, Theoretical Foundations &amp; Technical Reference Guide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88" w:lineRule="auto"/>
            </w:pPr>
            <w:r>
              <w:rPr>
                <w:rFonts w:ascii="Calibri" w:hAnsi="Calibri"/>
                <w:b/>
                <w:color w:val="0B2C52"/>
                <w:sz w:val="18"/>
              </w:rPr>
              <w:t xml:space="preserve">Principal Author &amp; Developer: </w:t>
            </w:r>
            <w:r>
              <w:rPr>
                <w:rFonts w:ascii="Calibri" w:hAnsi="Calibri"/>
                <w:b w:val="0"/>
                <w:color w:val="1E293B"/>
                <w:sz w:val="18"/>
              </w:rPr>
              <w:t>ABDULSALAM S. HASAN (Mosul, Iraq)</w:t>
              <w:br/>
            </w:r>
            <w:r>
              <w:rPr>
                <w:rFonts w:ascii="Calibri" w:hAnsi="Calibri"/>
                <w:b/>
                <w:color w:val="0B2C52"/>
                <w:sz w:val="18"/>
              </w:rPr>
              <w:t xml:space="preserve">Academic Target Software: </w:t>
            </w:r>
            <w:r>
              <w:rPr>
                <w:rFonts w:ascii="Calibri" w:hAnsi="Calibri"/>
                <w:b w:val="0"/>
                <w:color w:val="1E293B"/>
                <w:sz w:val="18"/>
              </w:rPr>
              <w:t>ORCA 6.1 / 6.0 Program Package (FACCTs GmbH / Max Planck Institute)</w:t>
              <w:br/>
            </w:r>
            <w:r>
              <w:rPr>
                <w:rFonts w:ascii="Calibri" w:hAnsi="Calibri"/>
                <w:b/>
                <w:color w:val="0B2C52"/>
                <w:sz w:val="18"/>
              </w:rPr>
              <w:t xml:space="preserve">Platform Architecture: </w:t>
            </w:r>
            <w:r>
              <w:rPr>
                <w:rFonts w:ascii="Calibri" w:hAnsi="Calibri"/>
                <w:b w:val="0"/>
                <w:color w:val="1E293B"/>
                <w:sz w:val="18"/>
              </w:rPr>
              <w:t>Three Unified Studios (Draw Chemistry • ORCA Calculations &amp; Jobs • Quantum Engine &amp; Thermochemistry)</w:t>
              <w:br/>
            </w:r>
            <w:r>
              <w:rPr>
                <w:rFonts w:ascii="Calibri" w:hAnsi="Calibri"/>
                <w:b/>
                <w:color w:val="0B2C52"/>
                <w:sz w:val="18"/>
              </w:rPr>
              <w:t xml:space="preserve">License &amp; Access: </w:t>
            </w:r>
            <w:r>
              <w:rPr>
                <w:rFonts w:ascii="Calibri" w:hAnsi="Calibri"/>
                <w:b w:val="0"/>
                <w:color w:val="1E293B"/>
                <w:sz w:val="18"/>
              </w:rPr>
              <w:t>Academic and Non-Commercial Research Suite (ORCA Web Lab License v1.1) • Zero Server Retention Policy</w:t>
              <w:br/>
            </w:r>
            <w:r>
              <w:rPr>
                <w:rFonts w:ascii="Calibri" w:hAnsi="Calibri"/>
                <w:b/>
                <w:color w:val="0B2C52"/>
                <w:sz w:val="18"/>
              </w:rPr>
              <w:t xml:space="preserve">Manual Release: </w:t>
            </w:r>
            <w:r>
              <w:rPr>
                <w:rFonts w:ascii="Calibri" w:hAnsi="Calibri"/>
                <w:b w:val="0"/>
                <w:color w:val="1E293B"/>
                <w:sz w:val="18"/>
              </w:rPr>
              <w:t>Version 1.0 (Comprehensive Academic Edition) | Last Updated: August 2026</w:t>
            </w:r>
          </w:p>
        </w:tc>
      </w:tr>
    </w:tbl>
    <w:p>
      <w:pPr>
        <w:spacing w:after="120"/>
      </w:pPr>
    </w:p>
    <w:p>
      <w:pPr>
        <w:keepNext/>
        <w:spacing w:before="360" w:after="120"/>
      </w:pPr>
      <w:r>
        <w:rPr>
          <w:rFonts w:ascii="Calibri" w:hAnsi="Calibri"/>
          <w:b/>
          <w:color w:val="0B2C52"/>
          <w:sz w:val="31"/>
        </w:rPr>
        <w:t>1. Platform Overview &amp; The Three Unified Studios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0"/>
        </w:rPr>
        <w:t>Chemistry Lab is a full-stack, cloud-orchestrated computational chemistry suite developed to bridge the gap between advanced ab initio quantum chemical software (ORCA 6.1) and intuitive, publication-grade web exploration. The platform eliminates traditional command-line configuration hurdles while maintaining strict physical rigor, standard spectroscopic conventions, and reproducible quantum mechanical workflows.</w:t>
      </w:r>
    </w:p>
    <w:p>
      <w:pPr>
        <w:spacing w:after="100" w:line="276" w:lineRule="auto"/>
      </w:pPr>
      <w:r>
        <w:rPr>
          <w:rFonts w:ascii="Calibri" w:hAnsi="Calibri"/>
          <w:b/>
          <w:color w:val="1E293B"/>
          <w:sz w:val="20"/>
        </w:rPr>
        <w:t xml:space="preserve">The Three Unified Studios Model: </w:t>
      </w:r>
      <w:r>
        <w:rPr>
          <w:rFonts w:ascii="Calibri" w:hAnsi="Calibri"/>
          <w:color w:val="1E293B"/>
          <w:sz w:val="20"/>
        </w:rPr>
        <w:t>The system is organized around Three Unified Studios accessible from the central navigation hub: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>Studio 1: Draw Chemistry (Chemoinformatics &amp; Reaction Engineering):</w:t>
      </w:r>
      <w:r>
        <w:rPr>
          <w:rFonts w:ascii="Calibri" w:hAnsi="Calibri"/>
          <w:color w:val="1E293B"/>
          <w:sz w:val="20"/>
        </w:rPr>
        <w:t xml:space="preserve"> Interactive chemical structure sketcher, automated SMILES/InChI/IUPAC compound resolver via PubChem REST APIs, 3D conformer generation via Universal Force Field (UFF/MMFF94) minimization, collision-free multi-fragment offset positioning, and multi-component reaction balancing with vector SVG / MDL RXN V2000 export.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>Studio 2: ORCA Calculations &amp; Jobs (Generator &amp; Cloud HPC Orchestrator):</w:t>
      </w:r>
      <w:r>
        <w:rPr>
          <w:rFonts w:ascii="Calibri" w:hAnsi="Calibri"/>
          <w:color w:val="1E293B"/>
          <w:sz w:val="20"/>
        </w:rPr>
        <w:t xml:space="preserve"> Sequential input generator for ORCA 6.1 keywords and blocks, multi-step chained calculation workflows (e.g., Opt -&gt; High-Opt -&gt; Freq -&gt; SP), high-precision coordinate inheritance, and automated cloud HPC execution via user-owned Kaggle accounts with a 5-job concurrency governor and session watchdog auto-recovery.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>Studio 3: Quantum Engine &amp; Thermochemistry (Spectroscopy &amp; Scientific Audit):</w:t>
      </w:r>
      <w:r>
        <w:rPr>
          <w:rFonts w:ascii="Calibri" w:hAnsi="Calibri"/>
          <w:color w:val="1E293B"/>
          <w:sz w:val="20"/>
        </w:rPr>
        <w:t xml:space="preserve"> High-throughput output log parsing, interactive 3D WebGL molecular geometry rendering, Mulliken/Löwdin/Hirshfeld partial charge mapping, HOMO-LUMO frontier orbital gaps, UV-Vis electronic absorption convolution with experimental overlays, FTIR vibrational spectra with transmittance/absorbance toggles, Conceptual DFT (CDFT) reactivity descriptors, Grimme's Quasi-RRHO thermochemistry, and Bond Dissociation Energies (BDE).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DF4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color w:val="0B2C52"/>
                <w:sz w:val="19"/>
              </w:rPr>
              <w:t xml:space="preserve">📌 PRIVACY &amp; EPHEMERAL ARCHITECTURE: </w:t>
            </w:r>
            <w:r>
              <w:rPr>
                <w:rFonts w:ascii="Calibri" w:hAnsi="Calibri"/>
                <w:color w:val="1E293B"/>
                <w:sz w:val="19"/>
              </w:rPr>
              <w:t>Chemistry Lab operates under a strict Zero-Retention Privacy Policy. All Kaggle API credentials, inputs, coordinates, and computation results remain in transient browser storage (localStorage/sessionStorage). No user data or credentials are stored or monetized on any server database.</w:t>
            </w:r>
          </w:p>
        </w:tc>
      </w:tr>
    </w:tbl>
    <w:p>
      <w:pPr>
        <w:spacing w:after="60"/>
      </w:pPr>
    </w:p>
    <w:p>
      <w:pPr>
        <w:keepNext/>
        <w:spacing w:before="360" w:after="120"/>
      </w:pPr>
      <w:r>
        <w:rPr>
          <w:rFonts w:ascii="Calibri" w:hAnsi="Calibri"/>
          <w:b/>
          <w:color w:val="0B2C52"/>
          <w:sz w:val="31"/>
        </w:rPr>
        <w:t>2. Studio 1: Chemoinformatics, 2D Structure Drawing &amp; Reaction Schemes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0"/>
        </w:rPr>
        <w:t>Studio 1 provides a seamless environment for preparing chemical structures and reaction equations before submission to quantum calculations. It is powered by RDKit backend libraries and an interactive vector canvas.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2.1 Molecule Explorer &amp; Chemical Identifier Translation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Translates IUPAC names, common names, isomeric SMILES, and InChI/InChIKey identifiers into chemical graphs.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Fetches live structural and physical property data from PubChem, including Molecular Weight (MW), Exact Mass, XLogP3, Topological Polar Surface Area (TPSA), Formal Charge, Heavy Atom Count, and H-Bond Donors/Acceptors.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Instant 2D-to-3D embedding using distance geometry algorithms with MMFF94 force-field relaxation.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2.2 2D Drawing Canvas &amp; Multi-Theme Publication Graphics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Draw bonds, rings (benzene, cyclohexane, cyclopentane), heteroatoms, stereochemical wedges, and charges with clean snap-to-grid alignment.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Export vector graphics (SVG) with customizable themes: Pure White (print publishing), Dark Slate (presentations), and Transparent (compositing).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Direct export to MDL Molfile V2000, SD file (.sdf), and Daylight SMILES compatible with ChemDraw, MarvinSketch, and Reaxys.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2.3 Collision-Free Multi-Fragment Positioning &amp; Force Field Relaxation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0"/>
        </w:rPr>
        <w:t>When assembling bimolecular complexes, solute-solvent clusters, or catalyst-substrate adducts, the system computes the Van der Waals bounding envelopes and applies an iterative collision-free offset along the X/Y axes (minimum clearance &gt;= 2.8 Å). A Universal Force Field (UFF) pre-relaxation step eliminates unphysical steric clashes prior to ab initio optimization.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2.4 Multi-Component Reaction Schemes &amp; Stoichiometric Balancing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Formulate multi-component chemical reactions (e.g., '2 C6H6 + 15 O2 -&gt; 12 CO2 + 6 H2O').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Automated algebraic mass and atom conservation verification ensuring every element and charge balances across reactants and products.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Export publication-quality reaction schemes in MDL RXN V2000 format.</w:t>
      </w:r>
    </w:p>
    <w:p>
      <w:pPr>
        <w:keepNext/>
        <w:spacing w:before="360" w:after="120"/>
      </w:pPr>
      <w:r>
        <w:rPr>
          <w:rFonts w:ascii="Calibri" w:hAnsi="Calibri"/>
          <w:b/>
          <w:color w:val="0B2C52"/>
          <w:sz w:val="31"/>
        </w:rPr>
        <w:t>3. Studio 2: ORCA 6.1 Advanced Input Generation Wizard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0"/>
        </w:rPr>
        <w:t>The ORCA 6.1 Input Generator follows a validated, multi-step sequential wizard model. It guarantees that generated ORCA input files (.inp) strictly obey ORCA syntax without syntax errors, unrecognized keywords, or silent parameter regressions.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3.1 Theoretical Methods &amp; Functional Taxonomy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Composite Density Functional Theory (3c Methods): </w:t>
      </w:r>
      <w:r>
        <w:rPr>
          <w:rFonts w:ascii="Calibri" w:hAnsi="Calibri"/>
          <w:color w:val="1E293B"/>
          <w:sz w:val="20"/>
        </w:rPr>
        <w:t xml:space="preserve"> r2SCAN-3c, B97-3c, PBEh-3c, HF-3c, wB97X-3c. These composite approaches evaluate geometry optimizations and vibrational frequencies at high speed while correcting for basis set superposition error (gCP) and dispersion interactions (D3/D4).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Standard &amp; Range-Separated Hybrids (DFT): </w:t>
      </w:r>
      <w:r>
        <w:rPr>
          <w:rFonts w:ascii="Calibri" w:hAnsi="Calibri"/>
          <w:color w:val="1E293B"/>
          <w:sz w:val="20"/>
        </w:rPr>
        <w:t xml:space="preserve"> B3LYP, PBE0, TPSSh, PW6B95, M06-2X (standard hybrids); CAM-B3LYP, wB97X-D4, wB97M-V, wB97X-V (range-separated hybrids); PBE, BP86, BLYP, r2SCAN, TPSS (pure GGA and meta-GGA).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Double-Hybrid Functionals: </w:t>
      </w:r>
      <w:r>
        <w:rPr>
          <w:rFonts w:ascii="Calibri" w:hAnsi="Calibri"/>
          <w:color w:val="1E293B"/>
          <w:sz w:val="20"/>
        </w:rPr>
        <w:t xml:space="preserve"> B2PLYP, DSD-PBEP86, DSD-BLYP. Automatically generates the appropriate auxiliary basis sets (RI-JK and AutoAux).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Correlated Post-Hartree-Fock Methods: </w:t>
      </w:r>
      <w:r>
        <w:rPr>
          <w:rFonts w:ascii="Calibri" w:hAnsi="Calibri"/>
          <w:color w:val="1E293B"/>
          <w:sz w:val="20"/>
        </w:rPr>
        <w:t xml:space="preserve"> Canonical MP2, RI-MP2, DLPNO-MP2, CCSD, CCSD(T), and DLPNO-CCSD(T). Enables gold-standard wavefunction benchmark calculations.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3.2 Systematic Basis Set Selection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Karlsruhe segmented def2 family: def2-SVP, def2-SVPD, def2-TZVP, def2-TZVPD, def2-TZVPP, def2-QZVPP, ma-def2-SVP, ma-def2-TZVP.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Jensen Polarization-Consistent family: pcseg-1, pcseg-2, pcseg-3, aug-pcseg-1, aug-pcseg-2 (optimized for DFT energy convergence).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Dunning Correlation-Consistent family: cc-pVDZ, aug-cc-pVDZ, cc-pVTZ, aug-cc-pVTZ, cc-pVQZ (for correlated wavefunction extrapolation).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Pople 6-31G family: 6-31G(d), 6-31+G(d,p), 6-311G(d,p), 6-311++G(2df,2pd).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Relativistic Recontracted Sets: x2c-SVPall, x2c-TZVPall, x2c-TZVPPall, SARC-ZORA-TZVP for heavy transition metals and actinides.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Magnetic &amp; Property Sets: IGLO-III, pcJ-2, EPR-II, EPR-III for NMR chemical shielding tensors and EPR hyperfine couplings.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3.3 Relativistic Hamiltonians &amp; Solvation Models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Scalar Relativistic Hamiltonians: Exact Two-Component (X2C), Zeroth-Order Regular Approximation (ZORA), and Douglas-Kroll-Hess (DKH).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Implicit Solvation Models: Conductor-like Polarizable Continuum Model (CPCM) and Solvation Model based on Density (SMD).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19 Parameter-Verified Solvents: Water, Acetonitrile, Methanol, Ethanol, Acetone, DCM, Chloroform, THF, DMSO, DMF, Toluene, Benzene, Hexane, Cyclohexane, DiethylEther, 1,4-Dioxane, CarbonTetrachloride, EthylAcetate, Pyridine.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3.4 Hardware Resource Management &amp; Safety Budgeting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Parallel Core Scaling: Configurable `%pal nprocs N end` for multi-threaded execution.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MaxCore RAM Clamping: `%maxcore M` dynamically clamped to Kaggle's safe memory threshold (6000 MB per core) to prevent kernel out-of-memory crashes.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Scratch Disk Safety: `%maxdisk` safety guardrails preventing disk saturation.</w:t>
      </w:r>
    </w:p>
    <w:p>
      <w:pPr>
        <w:keepNext/>
        <w:spacing w:before="360" w:after="120"/>
      </w:pPr>
      <w:r>
        <w:rPr>
          <w:rFonts w:ascii="Calibri" w:hAnsi="Calibri"/>
          <w:b/>
          <w:color w:val="0B2C52"/>
          <w:sz w:val="31"/>
        </w:rPr>
        <w:t>4. Studio 2: Multi-Stage Chained Workflows &amp; Cloud Orchestration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0"/>
        </w:rPr>
        <w:t>A flagship capability of Chemistry Lab is the automated execution of chained multi-step computational workflows across remote Kaggle GPU/CPU instances with full fault tolerance and lossless coordinate inheritance.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4.1 Multi-Stage Workflow Automation Pipeline</w:t>
      </w:r>
    </w:p>
    <w:p>
      <w:pPr>
        <w:spacing w:after="100" w:line="276" w:lineRule="auto"/>
      </w:pPr>
      <w:r>
        <w:rPr>
          <w:rFonts w:ascii="Calibri" w:hAnsi="Calibri"/>
          <w:b/>
          <w:color w:val="1E293B"/>
          <w:sz w:val="20"/>
        </w:rPr>
        <w:t xml:space="preserve">Standard 4-Stage Protocol: </w:t>
      </w:r>
      <w:r>
        <w:rPr>
          <w:rFonts w:ascii="Calibri" w:hAnsi="Calibri"/>
          <w:color w:val="1E293B"/>
          <w:sz w:val="20"/>
        </w:rPr>
        <w:t>Typical high-level quantum chemistry protocols require multi-tier calculation sequences. For example: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 xml:space="preserve"> Stage 1: Low-level rapid structural pre-optimization (e.g., ! B97-3c Opt).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 xml:space="preserve"> Stage 2: High-level DFT geometry optimization (e.g., ! wB97X-D4 def2-TZVP Opt).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 xml:space="preserve"> Stage 3: Harmonic vibrational frequency analysis &amp; thermochemistry (e.g., ! wB97X-D4 def2-TZVP Freq).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 xml:space="preserve"> Stage 4: High-accuracy single-point electronic energy (e.g., ! DLPNO-CCSD(T) def2-QZVPP SP).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4.2 The Latest-OPT Stage Coordinate Inheritance Algorithm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0"/>
        </w:rPr>
        <w:t>In traditional workflow managers, Stage N blindly requests coordinates from Stage N-1. However, in scientific protocols, Stage 3 (Freq) or Stage 4 (SP) does not perform geometry optimization and does not yield a new `.opt.xyz` coordinate file. If Stage 4 attempts to extract coordinates from Stage 3 (Freq), the job chain would fail.</w:t>
      </w:r>
    </w:p>
    <w:p>
      <w:pPr>
        <w:spacing w:after="100" w:line="276" w:lineRule="auto"/>
      </w:pPr>
      <w:r>
        <w:rPr>
          <w:rFonts w:ascii="Calibri" w:hAnsi="Calibri"/>
          <w:b/>
          <w:color w:val="1E293B"/>
          <w:sz w:val="20"/>
        </w:rPr>
        <w:t xml:space="preserve">Algorithmic Solution: </w:t>
      </w:r>
      <w:r>
        <w:rPr>
          <w:rFonts w:ascii="Calibri" w:hAnsi="Calibri"/>
          <w:color w:val="1E293B"/>
          <w:sz w:val="20"/>
        </w:rPr>
        <w:t>Chemistry Lab implements the Latest-OPT Stage Inheritance Algorithm (getWorkflowOptimizedCoords):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When Stage N is promoted from the waiting dependency queue, the system inspects all predecessor stages (Stage N-1 down to Stage 1).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It identifies the most recent predecessor stage that performed geometry optimization (Opt, OptTS) or has cached optimized coordinates.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It extracts the optimized Cartesian coordinates from that Opt stage and injects them directly into Stage N's input file.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The extracted coordinates are cached in local browser state, allowing instant re-use across all subsequent stages without network overhead.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4.3 Lossless Full Decimal Precision Preservation (10+ Decimals)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0"/>
        </w:rPr>
        <w:t>Standard web tools round coordinates to 6 decimal places (`12.6f`), causing artificial structural strain and gradient spikes in subsequent high-level coupled-cluster or tight SCF runs. Chemistry Lab eliminates all coordinate truncation: Cartesian tokens are extracted verbatim from ORCA logs and `.xyz` files with 10 to 14 decimal places (e.g., `0.117289123456 Å`), preserving complete quantum geometric fidelity across the entire chain.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4.4 Kaggle Cloud HPC Execution, Queue Governor &amp; Auto-Recovery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Queue Governor: Limits concurrent active Kaggle jobs to 5 slots, automatically dispatching queued stages as active jobs finish.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Watchdog Auto-Recovery: Automatically handles long-running jobs approaching Kaggle's 12-hour session limit, re-launching from the latest converged `.opt.xyz` geometry.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Fast Essential Mode vs. Full Mode: Allows researchers on slow or metered internet connections to download essential outputs (.out, .xyz, .property.txt, .inp &lt; 1 MB) instantly, while filtering out multi-gigabyte `.gbw` wavefunctions.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Native File System Access: Direct browser file streaming bypassing third-party download interceptors (IDM).</w:t>
      </w:r>
    </w:p>
    <w:p>
      <w:pPr>
        <w:keepNext/>
        <w:spacing w:before="360" w:after="120"/>
      </w:pPr>
      <w:r>
        <w:rPr>
          <w:rFonts w:ascii="Calibri" w:hAnsi="Calibri"/>
          <w:b/>
          <w:color w:val="0B2C52"/>
          <w:sz w:val="31"/>
        </w:rPr>
        <w:t>5. Studio 3: Quantum Engine, Spectroscopy &amp; Thermochemical Audit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0"/>
        </w:rPr>
        <w:t>Studio 3 delivers a state-of-the-art post-processing environment for analyzing ORCA output files (.out, .log, and .zip archives). It provides real-time streaming log parsing, 3D visualization, spectral convolution, and multi-component reaction thermodynamics.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5.1 3D Molecular Geometry &amp; Orbital Visualizer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High-performance WebGL 3D molecular canvas (3Dmol.js) with Ball-and-Stick, Wireframe, and Space-Filling (VDW) modes.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Atomic Partial Charges: Instant extraction and color mapping of Mulliken, Löwdin, and CHELPG charges.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MultiWfn .crg Integration: Direct upload of Hirshfeld and ADCH charge files (.crg) produced by Multiwfn to render electrostatic potential (ESP) surfaces.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5.2 Frontier Molecular Orbitals &amp; Conceptual DFT (CDFT)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0"/>
        </w:rPr>
        <w:t>Extracts spatial energy eigenvalues for Highest Occupied (HOMO) and Lowest Unoccupied (LUMO) molecular orbitals, and computes global reactivity descriptors grounded in conceptual density functional theory: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HOMO-LUMO Bandgap: </w:t>
      </w:r>
      <w:r>
        <w:rPr>
          <w:rFonts w:ascii="Calibri" w:hAnsi="Calibri"/>
          <w:color w:val="1E293B"/>
          <w:sz w:val="20"/>
        </w:rPr>
        <w:t xml:space="preserve"> Energy difference ΔEgap = |ELUMO - EHOMO| in eV and kcal/mol.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IP &amp; EA: </w:t>
      </w:r>
      <w:r>
        <w:rPr>
          <w:rFonts w:ascii="Calibri" w:hAnsi="Calibri"/>
          <w:color w:val="1E293B"/>
          <w:sz w:val="20"/>
        </w:rPr>
        <w:t xml:space="preserve"> Approximate Ionization Potential IP ≈ -EHOMO and Electron Affinity EA ≈ -ELUMO (Koopmans/Janak theorem).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Chemical Hardness (η) &amp; Softness (S): </w:t>
      </w:r>
      <w:r>
        <w:rPr>
          <w:rFonts w:ascii="Calibri" w:hAnsi="Calibri"/>
          <w:color w:val="1E293B"/>
          <w:sz w:val="20"/>
        </w:rPr>
        <w:t xml:space="preserve"> Global Hardness η = (IP - EA)/2 and Global Softness S = 1/(2η).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Chemical Potential (μ) &amp; Electronegativity (χ): </w:t>
      </w:r>
      <w:r>
        <w:rPr>
          <w:rFonts w:ascii="Calibri" w:hAnsi="Calibri"/>
          <w:color w:val="1E293B"/>
          <w:sz w:val="20"/>
        </w:rPr>
        <w:t xml:space="preserve"> Electronic Chemical Potential μ = -(IP + EA)/2 and Electronegativity χ = -μ.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Electrophilicity Index (ω): </w:t>
      </w:r>
      <w:r>
        <w:rPr>
          <w:rFonts w:ascii="Calibri" w:hAnsi="Calibri"/>
          <w:color w:val="1E293B"/>
          <w:sz w:val="20"/>
        </w:rPr>
        <w:t xml:space="preserve"> Electrophilicity Index ω = μ² / (2η), measuring electrophilic stabilization capacity.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Nucleophilicity Index (N): </w:t>
      </w:r>
      <w:r>
        <w:rPr>
          <w:rFonts w:ascii="Calibri" w:hAnsi="Calibri"/>
          <w:color w:val="1E293B"/>
          <w:sz w:val="20"/>
        </w:rPr>
        <w:t xml:space="preserve"> Nucleophilicity Index N = EHOMO(Nu) - EHOMO(TCE), referenced against tetracyanoethylene.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5.3 UV-Vis Electronic Absorption Spectroscopy Studio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Theoretical TD-DFT convolution using Gaussian peak broadening with adjustable FWHM (σ, 5 to 50 nm).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Solvent Wavelength Calibration Shift (Δλ, -100 to +100 nm) to correct for empirical dielectric and solvent bath shifts.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Interactive display showing vertical excitation sticks (oscillator strengths fosc) and molar absorption coefficient (ε in L·mol⁻¹·cm⁻¹).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Multi-trace experimental overlay (.xlsx, .csv, .txt) with strict mathematical immutability: experimental traces are never altered by theoretical shift parameters.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High-resolution PNG and CSV tabular export.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5.4 Vibrational FTIR Spectroscopic Studio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Harmonic vibrational frequency convolution using physical Lorentzian line shapes (FWHM γ) from normal mode transition dipole moments (T² in km/mol).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Standard spectroscopic axis: Wavenumber descending from 4000 cm⁻¹ (left) to 400 cm⁻¹ (right).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Dual Photometric Mode: Instant toggle between Transmittance (%T, downward bands) and Absorbance (AU, upward peaks).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Harmonic Scaling Factor: Slider control (0.800 to 1.100) to account for vibrational anharmonicity and basis set truncation.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Imaginary Frequency TS Verification: Flags imaginary vibrational modes (ν &lt; 0 cm⁻¹) indicating a transition state (first-order saddle point) vs. a true local minimum.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5.5 Two-Box Reaction Thermochemistry &amp; Equilibrium Engine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0"/>
        </w:rPr>
        <w:t>Evaluates chemical reaction thermodynamics by partitioning total energies into electronic and thermal contributions at arbitrary user-defined temperatures (T) and pressures (P):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Electronic Reaction Energy (ΔEelec): </w:t>
      </w:r>
      <w:r>
        <w:rPr>
          <w:rFonts w:ascii="Calibri" w:hAnsi="Calibri"/>
          <w:color w:val="1E293B"/>
          <w:sz w:val="20"/>
        </w:rPr>
        <w:t xml:space="preserve"> Electronic energy change ΔEelec = Σ(n·E_prod) - Σ(m·E_react).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Zero-Point Corrected Energy (ΔE0): </w:t>
      </w:r>
      <w:r>
        <w:rPr>
          <w:rFonts w:ascii="Calibri" w:hAnsi="Calibri"/>
          <w:color w:val="1E293B"/>
          <w:sz w:val="20"/>
        </w:rPr>
        <w:t xml:space="preserve"> Zero-point corrected energy ΔE0 = ΔEelec + ΔZPE.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Enthalpy of Reaction (ΔH°): </w:t>
      </w:r>
      <w:r>
        <w:rPr>
          <w:rFonts w:ascii="Calibri" w:hAnsi="Calibri"/>
          <w:color w:val="1E293B"/>
          <w:sz w:val="20"/>
        </w:rPr>
        <w:t xml:space="preserve"> Standard Enthalpy of reaction ΔH°(T) = ΔE0 + ΔH_thermal.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Gibbs Free Energy (ΔG°): </w:t>
      </w:r>
      <w:r>
        <w:rPr>
          <w:rFonts w:ascii="Calibri" w:hAnsi="Calibri"/>
          <w:color w:val="1E293B"/>
          <w:sz w:val="20"/>
        </w:rPr>
        <w:t xml:space="preserve"> Standard Gibbs Free Energy of reaction ΔG°(T) = ΔH°(T) - T·ΔS°(T).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Entropy of Reaction (ΔS°): </w:t>
      </w:r>
      <w:r>
        <w:rPr>
          <w:rFonts w:ascii="Calibri" w:hAnsi="Calibri"/>
          <w:color w:val="1E293B"/>
          <w:sz w:val="20"/>
        </w:rPr>
        <w:t xml:space="preserve"> Standard Entropy of reaction ΔS°(T) = (ΔH° - ΔG°) / T, precisely converted to cal/(mol·K) and SI units J/(mol·K) (where 1 cal = 4.184 J).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Equilibrium Constant (Keq): </w:t>
      </w:r>
      <w:r>
        <w:rPr>
          <w:rFonts w:ascii="Calibri" w:hAnsi="Calibri"/>
          <w:color w:val="1E293B"/>
          <w:sz w:val="20"/>
        </w:rPr>
        <w:t xml:space="preserve"> Thermodynamic Equilibrium Constant Keq = exp(-ΔG° / RT) with numerical underflow/overflow bounds checking.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Quasi-RRHO Entropy: </w:t>
      </w:r>
      <w:r>
        <w:rPr>
          <w:rFonts w:ascii="Calibri" w:hAnsi="Calibri"/>
          <w:color w:val="1E293B"/>
          <w:sz w:val="20"/>
        </w:rPr>
        <w:t xml:space="preserve"> Grimme's Quasi-RRHO (Rigid-Rotor Harmonic-Oscillator) interpolation for low-frequency vibrational entropy corrections.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Bond Dissociation Energy (BDE): </w:t>
      </w:r>
      <w:r>
        <w:rPr>
          <w:rFonts w:ascii="Calibri" w:hAnsi="Calibri"/>
          <w:color w:val="1E293B"/>
          <w:sz w:val="20"/>
        </w:rPr>
        <w:t xml:space="preserve"> Automated Bond Dissociation Energy (BDE) calculation for homolytic and heterolytic bond cleavage.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5.6 Scientific Consistency &amp; Quality Audit Engine</w:t>
      </w:r>
    </w:p>
    <w:p>
      <w:pPr>
        <w:spacing w:after="100" w:line="276" w:lineRule="auto"/>
      </w:pPr>
      <w:r>
        <w:rPr>
          <w:rFonts w:ascii="Calibri" w:hAnsi="Calibri"/>
          <w:b/>
          <w:color w:val="1E293B"/>
          <w:sz w:val="20"/>
        </w:rPr>
        <w:t xml:space="preserve">Automated Quality Checks: </w:t>
      </w:r>
      <w:r>
        <w:rPr>
          <w:rFonts w:ascii="Calibri" w:hAnsi="Calibri"/>
          <w:color w:val="1E293B"/>
          <w:sz w:val="20"/>
        </w:rPr>
        <w:t>To prevent invalid thermodynamic comparisons, the Audit Engine automatically inspects all participating species in a reaction: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Stoichiometric atom and charge balance check.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Level of theory audit: Flags discrepancies in DFT functionals (e.g., mixing B3LYP with PBE0).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Basis set consistency audit: Flags mixed basis set qualities (e.g., def2-SVP vs def2-TZVP).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Solvation model &amp; dielectric check: Ensures all species share identical solvent parameters.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Temperature &amp; pressure synchronization check.</w:t>
      </w:r>
    </w:p>
    <w:p>
      <w:pPr>
        <w:keepNext/>
        <w:spacing w:before="360" w:after="120"/>
      </w:pPr>
      <w:r>
        <w:rPr>
          <w:rFonts w:ascii="Calibri" w:hAnsi="Calibri"/>
          <w:b/>
          <w:color w:val="0B2C52"/>
          <w:sz w:val="31"/>
        </w:rPr>
        <w:t>6. Troubleshooting, Best Practices &amp; Scientific FAQ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6.1 Resolving SCF Convergence Failures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Difficult transition metal complexes or open-shell radical systems may exhibit oscillating SCF cycles. Recommended keywords: `! VeryTightSCF SlowConv KDIIS SOSCF`.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Ensure initial geometries are reasonable: run an initial force field or B97-3c pre-optimization before submitting high-level hybrid DFT.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6.2 Preventing Kaggle Memory / Disk Allocation Errors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Keep `%maxcore` within 5000-6000 MB per core for 4-core jobs. Total memory must not exceed 24,000 MB (Kaggle limit is 30 GB).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Use `mode='essential'` when downloading results if bandwidth is limited; this eliminates heavy scratch wavefunctions (`.gbw`).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6.3 Transition State Optimization (OptTS) &amp; Frequency Verification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Always verify that an `OptTS` calculation produces exactly one imaginary frequency (e.g., `-342.5 cm⁻¹`).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Follow with an Intrinsic Reaction Coordinate (IRC) calculation to confirm the TS connects the correct reactant and product wells.</w:t>
      </w:r>
    </w:p>
    <w:p>
      <w:pPr>
        <w:keepNext/>
        <w:spacing w:before="360" w:after="120"/>
      </w:pPr>
      <w:r>
        <w:rPr>
          <w:rFonts w:ascii="Calibri" w:hAnsi="Calibri"/>
          <w:b/>
          <w:color w:val="0B2C52"/>
          <w:sz w:val="31"/>
        </w:rPr>
        <w:t>7. Academic Citation Guide &amp; Scientific Attribution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0"/>
        </w:rPr>
        <w:t>When publishing research, articles, or computational datasets obtained using Chemistry Lab, please include the following academic citations for the platform and the underlying software packages: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7.1 How to Cite Chemistry Lab</w:t>
      </w:r>
    </w:p>
    <w:p>
      <w:pPr>
        <w:spacing w:after="100" w:line="276" w:lineRule="auto"/>
      </w:pPr>
      <w:r>
        <w:rPr>
          <w:rFonts w:ascii="Calibri" w:hAnsi="Calibri"/>
          <w:b/>
          <w:color w:val="1E293B"/>
          <w:sz w:val="20"/>
        </w:rPr>
        <w:t xml:space="preserve">1. </w:t>
      </w:r>
      <w:r>
        <w:rPr>
          <w:rFonts w:ascii="Calibri" w:hAnsi="Calibri"/>
          <w:color w:val="1E293B"/>
          <w:sz w:val="20"/>
        </w:rPr>
        <w:t>BibTeX Entry: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0F172A"/>
                <w:sz w:val="17"/>
              </w:rPr>
              <w:t>@software{Hasan2026ChemistryLab,</w:t>
              <w:br/>
              <w:t xml:space="preserve">  author       = {Hasan, Abdulsalam S.},</w:t>
              <w:br/>
              <w:t xml:space="preserve">  title        = {{Chemistry Lab: A Web-Based Computational Chemistry Platform}},</w:t>
              <w:br/>
              <w:t xml:space="preserve">  year         = {2026},</w:t>
              <w:br/>
              <w:t xml:space="preserve">  version      = {1.0.0},</w:t>
              <w:br/>
              <w:t xml:space="preserve">  url          = {https://github.com/abd19990044-commits/chemistry-web-lab},</w:t>
              <w:br/>
              <w:t xml:space="preserve">  note         = {Compatible with ORCA 6.1 program system}</w:t>
              <w:br/>
              <w:t>}</w:t>
            </w:r>
          </w:p>
        </w:tc>
      </w:tr>
    </w:tbl>
    <w:p>
      <w:pPr>
        <w:spacing w:after="60"/>
      </w:pPr>
    </w:p>
    <w:p>
      <w:pPr>
        <w:spacing w:after="100" w:line="276" w:lineRule="auto"/>
      </w:pPr>
      <w:r>
        <w:rPr>
          <w:rFonts w:ascii="Calibri" w:hAnsi="Calibri"/>
          <w:b/>
          <w:color w:val="1E293B"/>
          <w:sz w:val="20"/>
        </w:rPr>
        <w:t xml:space="preserve">2. </w:t>
      </w:r>
      <w:r>
        <w:rPr>
          <w:rFonts w:ascii="Calibri" w:hAnsi="Calibri"/>
          <w:color w:val="1E293B"/>
          <w:sz w:val="20"/>
        </w:rPr>
        <w:t>ACS / Vancouver Chemistry Format:</w:t>
      </w:r>
    </w:p>
    <w:p>
      <w:pPr>
        <w:spacing w:after="160" w:line="276" w:lineRule="auto"/>
      </w:pPr>
      <w:r>
        <w:rPr>
          <w:rFonts w:ascii="Calibri" w:hAnsi="Calibri"/>
          <w:color w:val="1E293B"/>
          <w:sz w:val="20"/>
        </w:rPr>
        <w:t>Hasan, A. S. Chemistry Lab, version 1.0.0; Advanced Computational Chemistry &amp; Spectroscopic Analysis Platform, 2026. https://github.com/abd19990044-commits/chemistry-web-lab</w:t>
      </w:r>
    </w:p>
    <w:p>
      <w:pPr>
        <w:spacing w:after="100" w:line="276" w:lineRule="auto"/>
      </w:pPr>
      <w:r>
        <w:rPr>
          <w:rFonts w:ascii="Calibri" w:hAnsi="Calibri"/>
          <w:b/>
          <w:color w:val="1E293B"/>
          <w:sz w:val="20"/>
        </w:rPr>
        <w:t xml:space="preserve">3. </w:t>
      </w:r>
      <w:r>
        <w:rPr>
          <w:rFonts w:ascii="Calibri" w:hAnsi="Calibri"/>
          <w:color w:val="1E293B"/>
          <w:sz w:val="20"/>
        </w:rPr>
        <w:t>APA 7th Edition Format:</w:t>
      </w:r>
    </w:p>
    <w:p>
      <w:pPr>
        <w:spacing w:after="160" w:line="276" w:lineRule="auto"/>
      </w:pPr>
      <w:r>
        <w:rPr>
          <w:rFonts w:ascii="Calibri" w:hAnsi="Calibri"/>
          <w:color w:val="1E293B"/>
          <w:sz w:val="20"/>
        </w:rPr>
        <w:t>Hasan, A. S. (2026). Chemistry Lab: A Web-Based Computational Chemistry Platform (Version 1.0.0) [Computer software]. Retrieved from https://github.com/abd19990044-commits/chemistry-web-lab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7.2 Underlying Scientific Packages &amp; Theoretical References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ORCA Electronic Structure Package: </w:t>
      </w:r>
      <w:r>
        <w:rPr>
          <w:rFonts w:ascii="Calibri" w:hAnsi="Calibri"/>
          <w:color w:val="1E293B"/>
          <w:sz w:val="20"/>
        </w:rPr>
        <w:t xml:space="preserve"> Neese, F. (2022). Software update: The ORCA program system - Version 5.0. WIREs Comput. Mol. Sci., 12(5), e1606. / Neese, F. et al. (2026). The ORCA Quantum Chemistry Program System (Version 6.1).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RDKit Chemoinformatics Library: </w:t>
      </w:r>
      <w:r>
        <w:rPr>
          <w:rFonts w:ascii="Calibri" w:hAnsi="Calibri"/>
          <w:color w:val="1E293B"/>
          <w:sz w:val="20"/>
        </w:rPr>
        <w:t xml:space="preserve"> Landrum, G. et al. (2026). RDKit: Open-source cheminformatics and machine learning toolkit. http://www.rdkit.org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3Dmol.js WebGL Visualizer: </w:t>
      </w:r>
      <w:r>
        <w:rPr>
          <w:rFonts w:ascii="Calibri" w:hAnsi="Calibri"/>
          <w:color w:val="1E293B"/>
          <w:sz w:val="20"/>
        </w:rPr>
        <w:t xml:space="preserve"> Rego, N., &amp; Koes, D. (2015). 3Dmol.js: molecular visualization with WebGL. Bioinformatics, 31(8), 1322-1324.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MultiWfn Wavefunction Analyzer: </w:t>
      </w:r>
      <w:r>
        <w:rPr>
          <w:rFonts w:ascii="Calibri" w:hAnsi="Calibri"/>
          <w:color w:val="1E293B"/>
          <w:sz w:val="20"/>
        </w:rPr>
        <w:t xml:space="preserve"> Lu, T., &amp; Chen, F. (2012). Multiwfn: A multifunctional wavefunction analyzer. J. Comput. Chem., 33(5), 580-592.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Grimme Dispersion Corrections (DFT-D3/D4): </w:t>
      </w:r>
      <w:r>
        <w:rPr>
          <w:rFonts w:ascii="Calibri" w:hAnsi="Calibri"/>
          <w:color w:val="1E293B"/>
          <w:sz w:val="20"/>
        </w:rPr>
        <w:t xml:space="preserve"> Grimme, S., Antony, J., Ehrlich, S., &amp; Krieg, H. (2010). A consistent and accurate ab initio parametrization of density functional dispersion correction (DFT-D3). J. Chem. Phys., 132(15), 154104.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Grimme Quasi-RRHO Thermochemistry: </w:t>
      </w:r>
      <w:r>
        <w:rPr>
          <w:rFonts w:ascii="Calibri" w:hAnsi="Calibri"/>
          <w:color w:val="1E293B"/>
          <w:sz w:val="20"/>
        </w:rPr>
        <w:t xml:space="preserve"> Grimme, S. (2012). An improved modified rigid-rotor-harmonic-oscillator (quasi-RRHO) model for calculating entropy corrections. Chem. Eur. J., 18(32), 9955-9964.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Composite Methods (r2SCAN-3c, B97-3c): </w:t>
      </w:r>
      <w:r>
        <w:rPr>
          <w:rFonts w:ascii="Calibri" w:hAnsi="Calibri"/>
          <w:color w:val="1E293B"/>
          <w:sz w:val="20"/>
        </w:rPr>
        <w:t xml:space="preserve"> Grimme, S., Bannwarth, C., &amp; Shushkov, P. (2017). A robust and accurate tight-binding quantum chemical method for structures, vibrational frequencies, and noncovalent interactions. J. Chem. Theory Comput., 13(5), 1989-2009.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E6E6E"/>
        <w:sz w:val="17"/>
      </w:rPr>
      <w:t>Chemistry Lab • Developed by ABDULSALAM S. HASAN • Compatible with ORCA 6.1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6E6E6E"/>
        <w:sz w:val="17"/>
      </w:rPr>
      <w:t>Chemistry Lab - Academic User Manual &amp; Technical Reference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