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Calibri" w:cs="Calibri" w:eastAsia="Calibri" w:hAnsi="Calibri"/>
          <w:b/>
          <w:bCs/>
          <w:color w:val="555555"/>
          <w:sz w:val="24"/>
          <w:szCs w:val="24"/>
        </w:rPr>
        <w:t xml:space="preserve">NATURAL LANGUAGE PROCESSING</w:t>
      </w:r>
    </w:p>
    <w:p>
      <w:pPr>
        <w:spacing w:after="480"/>
        <w:jc w:val="center"/>
      </w:pPr>
      <w:r>
        <w:rPr>
          <w:rFonts w:ascii="Calibri" w:cs="Calibri" w:eastAsia="Calibri" w:hAnsi="Calibri"/>
          <w:color w:val="777777"/>
          <w:sz w:val="22"/>
          <w:szCs w:val="22"/>
        </w:rPr>
        <w:t xml:space="preserve">Final Project Report</w:t>
      </w:r>
    </w:p>
    <w:p>
      <w:pPr>
        <w:spacing w:after="200"/>
        <w:jc w:val="center"/>
      </w:pPr>
      <w:r>
        <w:rPr>
          <w:rFonts w:ascii="Calibri" w:cs="Calibri" w:eastAsia="Calibri" w:hAnsi="Calibri"/>
          <w:b/>
          <w:bCs/>
          <w:color w:val="000000"/>
          <w:sz w:val="52"/>
          <w:szCs w:val="52"/>
        </w:rPr>
        <w:t xml:space="preserve">Abstractive Arabic Text Summarization</w:t>
      </w:r>
    </w:p>
    <w:p>
      <w:pPr>
        <w:spacing w:after="600"/>
        <w:jc w:val="center"/>
      </w:pPr>
      <w:r>
        <w:rPr>
          <w:rFonts w:ascii="Calibri" w:cs="Calibri" w:eastAsia="Calibri" w:hAnsi="Calibri"/>
          <w:color w:val="333333"/>
          <w:sz w:val="28"/>
          <w:szCs w:val="28"/>
        </w:rPr>
        <w:t xml:space="preserve">Using Sequence-to-Sequence Models with Bahdanau Attention</w:t>
      </w:r>
    </w:p>
    <w:p>
      <w:pPr>
        <w:spacing w:after="100"/>
        <w:jc w:val="center"/>
      </w:pPr>
      <w:r>
        <w:rPr>
          <w:rFonts w:ascii="Calibri" w:cs="Calibri" w:eastAsia="Calibri" w:hAnsi="Calibri"/>
          <w:color w:val="333333"/>
          <w:sz w:val="22"/>
          <w:szCs w:val="22"/>
        </w:rPr>
        <w:t xml:space="preserve">Abdelrahman Albakri  -  20230042</w:t>
      </w:r>
    </w:p>
    <w:p>
      <w:pPr>
        <w:spacing w:after="100"/>
        <w:jc w:val="center"/>
      </w:pPr>
      <w:r>
        <w:rPr>
          <w:rFonts w:ascii="Calibri" w:cs="Calibri" w:eastAsia="Calibri" w:hAnsi="Calibri"/>
          <w:color w:val="333333"/>
          <w:sz w:val="22"/>
          <w:szCs w:val="22"/>
        </w:rPr>
        <w:t xml:space="preserve">Ahmad Swaidan  -  20230558</w:t>
      </w:r>
    </w:p>
    <w:p>
      <w:pPr>
        <w:spacing w:after="400"/>
        <w:jc w:val="center"/>
      </w:pPr>
      <w:r>
        <w:rPr>
          <w:rFonts w:ascii="Calibri" w:cs="Calibri" w:eastAsia="Calibri" w:hAnsi="Calibri"/>
          <w:color w:val="333333"/>
          <w:sz w:val="22"/>
          <w:szCs w:val="22"/>
        </w:rPr>
        <w:t xml:space="preserve">Abdallah Hajjat  -  20230300</w:t>
      </w:r>
    </w:p>
    <w:p>
      <w:pPr>
        <w:jc w:val="center"/>
      </w:pPr>
      <w:r>
        <w:rPr>
          <w:rFonts w:ascii="Calibri" w:cs="Calibri" w:eastAsia="Calibri" w:hAnsi="Calibri"/>
          <w:color w:val="777777"/>
          <w:sz w:val="22"/>
          <w:szCs w:val="22"/>
        </w:rPr>
        <w:t xml:space="preserve">May 2026</w:t>
      </w:r>
    </w:p>
    <w:p>
      <w:r>
        <w:br w:type="page"/>
      </w:r>
    </w:p>
    <w:p>
      <w:pPr>
        <w:pStyle w:val="Heading1"/>
      </w:pPr>
      <w:r>
        <w:t xml:space="preserve">1. Introduction</w:t>
      </w:r>
    </w:p>
    <w:p>
      <w:pPr>
        <w:spacing w:after="140"/>
      </w:pPr>
      <w:r>
        <w:t xml:space="preserve">Automatic text summarization is a core challenge in Natural Language Processing. Given the exponential growth of Arabic digital content, there is a strong demand for systems that can condense long Arabic news articles into short, informative summaries. This project builds an abstractive summarization pipeline end-to-end.</w:t>
      </w:r>
    </w:p>
    <w:p>
      <w:pPr>
        <w:spacing w:after="140"/>
      </w:pPr>
      <w:r>
        <w:t xml:space="preserve">Abstractive summarization differs from extractive approaches: rather than selecting existing sentences verbatim, an abstractive model generates new text capturing the core meaning of a document. Our system uses a Sequence-to-Sequence (Seq2Seq) architecture with a Bidirectional LSTM encoder, unidirectional LSTM decoder, and Bahdanau attention, trained on 68,998 Arabic document-summary pairs from four datasets.</w:t>
      </w:r>
    </w:p>
    <w:p>
      <w:pPr>
        <w:pStyle w:val="Heading1"/>
      </w:pPr>
      <w:r>
        <w:t xml:space="preserve">2. Datasets</w:t>
      </w:r>
    </w:p>
    <w:p>
      <w:pPr>
        <w:spacing w:after="140"/>
      </w:pPr>
      <w:r>
        <w:t xml:space="preserve">Four Arabic summarization datasets were combined into a single training corpus. All datasets contain document-summary pairs of Arabic news articles.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2460"/>
      </w:tblGrid>
      <w:tr>
        <w:trPr>
          <w:tblHeader/>
        </w:trPr>
        <w:tc>
          <w:tcPr>
            <w:tcW w:type="dxa" w:w="25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Dataset</w:t>
            </w:r>
          </w:p>
        </w:tc>
        <w:tc>
          <w:tcPr>
            <w:tcW w:type="dxa" w:w="28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Size</w:t>
            </w:r>
          </w:p>
        </w:tc>
        <w:tc>
          <w:tcPr>
            <w:tcW w:type="dxa" w:w="24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AraSum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Arabic summarization corpus (DW news)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~49,604 pairs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MSA news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Kaggle Arabic Summarization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summarizdataset.csv + data.csv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MSA news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Egyptian Arabic Dataset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Hugging Face Parquet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Variable</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Egyptian dialect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SumArabic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JSONL (train/valid/test)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~84,000 pairs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MSA news</w:t>
            </w:r>
          </w:p>
        </w:tc>
      </w:tr>
    </w:tbl>
    <w:p>
      <w:pPr>
        <w:spacing w:after="160"/>
      </w:pPr>
    </w:p>
    <w:p>
      <w:pPr>
        <w:spacing w:after="140"/>
      </w:pPr>
      <w:r>
        <w:t xml:space="preserve">After concatenating, deduplicating, and filtering empty rows, the combined dataset contained 68,998 samples ready for preprocessing.</w:t>
      </w:r>
    </w:p>
    <w:p>
      <w:pPr>
        <w:pStyle w:val="Heading1"/>
      </w:pPr>
      <w:r>
        <w:t xml:space="preserve">3. Data Preprocessing</w:t>
      </w:r>
    </w:p>
    <w:p>
      <w:pPr>
        <w:pStyle w:val="Heading2"/>
      </w:pPr>
      <w:r>
        <w:t xml:space="preserve">3.1 Text Cleaning</w:t>
      </w:r>
    </w:p>
    <w:p>
      <w:pPr>
        <w:spacing w:after="140"/>
      </w:pPr>
      <w:r>
        <w:t xml:space="preserve">The cleaning stage removes non-semantic content: URLs, emails, social media mentions, hashtags, HTML tags, digits, repeated characters, emojis, and all non-Arabic Unicode. Only Arabic characters (U+0600 to U+06FF) and whitespace are retained.</w:t>
      </w:r>
    </w:p>
    <w:p>
      <w:pPr>
        <w:pStyle w:val="Heading2"/>
      </w:pPr>
      <w:r>
        <w:t xml:space="preserve">3.2 Arabic Normalization</w:t>
      </w:r>
    </w:p>
    <w:p>
      <w:pPr>
        <w:spacing w:after="140"/>
      </w:pPr>
      <w:r>
        <w:t xml:space="preserve">Several Arabic orthographic variants map to the same underlying phoneme and must be unified to avoid vocabulary fragmentation:</w:t>
      </w:r>
    </w:p>
    <w:p>
      <w:pPr>
        <w:pStyle w:val="ListParagraph"/>
        <w:numPr>
          <w:ilvl w:val="0"/>
          <w:numId w:val="2"/>
        </w:numPr>
        <w:spacing w:after="80"/>
      </w:pPr>
      <w:r>
        <w:t xml:space="preserve">Alef variants (إ, أ, آ) normalized to bare Alef (ا).</w:t>
      </w:r>
    </w:p>
    <w:p>
      <w:pPr>
        <w:pStyle w:val="ListParagraph"/>
        <w:numPr>
          <w:ilvl w:val="0"/>
          <w:numId w:val="2"/>
        </w:numPr>
        <w:spacing w:after="80"/>
      </w:pPr>
      <w:r>
        <w:t xml:space="preserve">Alef Maqsura (ى) normalized to Ya (ي).</w:t>
      </w:r>
    </w:p>
    <w:p>
      <w:pPr>
        <w:pStyle w:val="ListParagraph"/>
        <w:numPr>
          <w:ilvl w:val="0"/>
          <w:numId w:val="2"/>
        </w:numPr>
        <w:spacing w:after="80"/>
      </w:pPr>
      <w:r>
        <w:t>Hamza on Waw (ؤ) normalized to Waw (و). Ya variants (ئ, ى) normalized to Ya (ي).</w:t>
      </w:r>
    </w:p>
    <w:p>
      <w:pPr>
        <w:pStyle w:val="ListParagraph"/>
        <w:numPr>
          <w:ilvl w:val="0"/>
          <w:numId w:val="2"/>
        </w:numPr>
        <w:spacing w:after="80"/>
      </w:pPr>
      <w:r>
        <w:t xml:space="preserve">Ta Marbuta (ة) normalized to Ha (ه).</w:t>
      </w:r>
    </w:p>
    <w:p>
      <w:pPr>
        <w:pStyle w:val="ListParagraph"/>
        <w:numPr>
          <w:ilvl w:val="0"/>
          <w:numId w:val="2"/>
        </w:numPr>
        <w:spacing w:after="80"/>
      </w:pPr>
      <w:r>
        <w:t xml:space="preserve">Tatweel (ـ) removed. All diacritics (U+064B to U+065F) stripped.</w:t>
      </w:r>
    </w:p>
    <w:p>
      <w:pPr>
        <w:pStyle w:val="Heading2"/>
      </w:pPr>
      <w:r>
        <w:t xml:space="preserve">3.3 Stop Word Removal</w:t>
      </w:r>
    </w:p>
    <w:p>
      <w:pPr>
        <w:spacing w:after="140"/>
      </w:pPr>
      <w:r>
        <w:t xml:space="preserve">Arabic stop words were removed using the NLTK Arabic stop word list, reducing vocabulary noise and focusing the model on content-bearing terms.</w:t>
      </w:r>
    </w:p>
    <w:p>
      <w:pPr>
        <w:pStyle w:val="Heading2"/>
      </w:pPr>
      <w:r>
        <w:t xml:space="preserve">3.4 Tokenization and Padding</w:t>
      </w:r>
    </w:p>
    <w:p>
      <w:pPr>
        <w:spacing w:after="140"/>
      </w:pPr>
      <w:r>
        <w:t xml:space="preserve">A shared Keras Tokenizer was fitted on training data only with a vocabulary size of 30,000. Two special tokens were added: sostoken (id=5) and eostoken (id=6), used for teacher forcing during training. Sequences were post-padded to fixed lengths.</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Value</w:t>
            </w:r>
          </w:p>
        </w:tc>
        <w:tc>
          <w:tcPr>
            <w:tcW w:type="dxa" w:w="50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VOCAB_SIZE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30,000</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Covers most Arabic surface forms after normalization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MAX_ART_LEN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350 tokens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Balances article coverage and T4 GPU memory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MAX_SUM_LEN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50 tokens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Matches reference summary length distribution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OOV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&lt;oov&gt;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Handles rare words outside top 30,000</w:t>
            </w:r>
          </w:p>
        </w:tc>
      </w:tr>
    </w:tbl>
    <w:p>
      <w:pPr>
        <w:spacing w:after="160"/>
      </w:pPr>
    </w:p>
    <w:p>
      <w:pPr>
        <w:pStyle w:val="Heading2"/>
      </w:pPr>
      <w:r>
        <w:t xml:space="preserve">3.5 Data Split</w:t>
      </w:r>
    </w:p>
    <w:p>
      <w:pPr>
        <w:spacing w:after="140"/>
      </w:pPr>
      <w:r>
        <w:t xml:space="preserve">The 68,998 samples were split before fitting the tokenizer, simulating real-world conditions where test vocabulary may partially differ from training.</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Split</w:t>
            </w:r>
          </w:p>
        </w:tc>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Samples</w:t>
            </w:r>
          </w:p>
        </w:tc>
        <w:tc>
          <w:tcPr>
            <w:tcW w:type="dxa" w:w="50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Training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55,198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Tokenizer fitting and model weight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6,900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Early stopping and learning rate scheduling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6,900</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Final ROUGE evaluation and qualitative analysis</w:t>
            </w:r>
          </w:p>
        </w:tc>
      </w:tr>
    </w:tbl>
    <w:p>
      <w:pPr>
        <w:spacing w:after="200"/>
      </w:pPr>
    </w:p>
    <w:p>
      <w:pPr>
        <w:pStyle w:val="Heading1"/>
      </w:pPr>
      <w:r>
        <w:t xml:space="preserve">4. Model Architecture</w:t>
      </w:r>
    </w:p>
    <w:p>
      <w:pPr>
        <w:spacing w:after="140"/>
      </w:pPr>
      <w:r>
        <w:t xml:space="preserve">The model follows a standard Seq2Seq architecture with Bahdanau attention, implemented in TensorFlow/Keras. Encoder and decoder share a single embedding matrix, which is parameter-efficient for a shared-vocabulary setup.</w:t>
      </w:r>
    </w:p>
    <w:p>
      <w:pPr>
        <w:pStyle w:val="Heading2"/>
      </w:pPr>
      <w:r>
        <w:t xml:space="preserve">4.1 Encoder</w:t>
      </w:r>
    </w:p>
    <w:p>
      <w:pPr>
        <w:spacing w:after="140"/>
      </w:pPr>
      <w:r>
        <w:t xml:space="preserve">A Bidirectional LSTM (BiLSTM) with 128 hidden units per direction (256 total) reads the full padded article and outputs: encoder_outputs of shape (batch, 350, 256), and concatenated final states state_h and state_c (each 256-dimensional) passed to the decoder as initial states. Dropout (0.2) is applied after the BiLSTM output.</w:t>
      </w:r>
    </w:p>
    <w:p>
      <w:pPr>
        <w:pStyle w:val="Heading2"/>
      </w:pPr>
      <w:r>
        <w:t xml:space="preserve">4.2 Decoder</w:t>
      </w:r>
    </w:p>
    <w:p>
      <w:pPr>
        <w:spacing w:after="140"/>
      </w:pPr>
      <w:r>
        <w:t xml:space="preserve">A unidirectional LSTM with 256 hidden units, initialized with the encoder final states, generates the summary one token at a time. During training, teacher forcing feeds the correct previous token at each step. The decoder uses the same embedding matrix as the encoder.</w:t>
      </w:r>
    </w:p>
    <w:p>
      <w:pPr>
        <w:pStyle w:val="Heading2"/>
      </w:pPr>
      <w:r>
        <w:t xml:space="preserve">4.3 Bahdanau Attention</w:t>
      </w:r>
    </w:p>
    <w:p>
      <w:pPr>
        <w:spacing w:after="140"/>
      </w:pPr>
      <w:r>
        <w:t xml:space="preserve">Additive attention is applied between the decoder output and all encoder positions at each decoding step, computing a context vector as a weighted sum of encoder outputs. During training, use_causal_mask=True prevents the decoder from attending to future positions. The context vector is concatenated with the decoder output and projected to vocabulary size via a softmax Dense layer.</w:t>
      </w:r>
    </w:p>
    <w:p>
      <w:pPr>
        <w:pStyle w:val="Heading2"/>
      </w:pPr>
      <w:r>
        <w:t xml:space="preserve">4.4 Hyperparameters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Hyperparameter</w:t>
            </w:r>
          </w:p>
        </w:tc>
        <w:tc>
          <w:tcPr>
            <w:tcW w:type="dxa" w:w="41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Value</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Embedding dimension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128</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Encoder BiLSTM hidden size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128 per direction (256 total)</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Decoder LSTM hidden size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256</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Dropout 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 (encoder and decoder)</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Optimizer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Adam (lr=1e-3, clipnorm=1.0)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Batch size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Max epochs / Early stop patience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 / 2 epochs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LR reduction factor / patience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 / 1 epoch</w:t>
            </w:r>
          </w:p>
        </w:tc>
      </w:tr>
    </w:tbl>
    <w:p>
      <w:pPr>
        <w:spacing w:after="160"/>
      </w:pPr>
    </w:p>
    <w:p>
      <w:pPr>
        <w:spacing w:after="140"/>
      </w:pPr>
      <w:r>
        <w:t xml:space="preserve">A custom masked sparse categorical cross-entropy loss was implemented to exclude padding tokens (id=0) from gradient computation, ensuring the model only learns from actual Arabic tokens.</w:t>
      </w:r>
    </w:p>
    <w:p>
      <w:pPr>
        <w:pStyle w:val="Heading1"/>
      </w:pPr>
      <w:r>
        <w:t xml:space="preserve">5. Training</w:t>
      </w:r>
    </w:p>
    <w:p>
      <w:pPr>
        <w:spacing w:after="140"/>
      </w:pPr>
      <w:r>
        <w:t xml:space="preserve">Training was conducted on a Google Colab T4 GPU for 5 epochs. Early stopping monitored validation loss with patience=2 and min_delta=1e-4. ReduceLROnPlateau halved the learning rate after 1 epoch without improvement.</w:t>
      </w:r>
    </w:p>
    <w:p>
      <w:pPr>
        <w:spacing w:after="80"/>
      </w:pPr>
    </w:p>
    <w:p>
      <w:pPr>
        <w:spacing w:after="80"/>
        <w:jc w:val="center"/>
      </w:pPr>
      <w:r>
        <w:drawing>
          <wp:inline distT="0" distB="0" distL="0" distR="0">
            <wp:extent cx="5048250" cy="2800350"/>
            <wp:effectExtent t="0" r="0" b="0" l="0"/>
            <wp:docPr id="1" name="training_curves" descr="Training and validation loss per epoch" title="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2800350"/>
                    </a:xfrm>
                    <a:prstGeom prst="rect">
                      <a:avLst/>
                    </a:prstGeom>
                  </pic:spPr>
                </pic:pic>
              </a:graphicData>
            </a:graphic>
          </wp:inline>
        </w:drawing>
      </w:r>
    </w:p>
    <w:p>
      <w:pPr>
        <w:spacing w:after="160"/>
        <w:jc w:val="center"/>
      </w:pPr>
      <w:r>
        <w:rPr>
          <w:i/>
          <w:iCs/>
          <w:color w:val="555555"/>
          <w:sz w:val="18"/>
          <w:szCs w:val="18"/>
        </w:rPr>
        <w:t xml:space="preserve">Figure 1: Training and Validation Loss across 5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1872"/>
        <w:gridCol w:w="2028"/>
        <w:gridCol w:w="2028"/>
      </w:tblGrid>
      <w:tr>
        <w:trPr>
          <w:tblHeader/>
        </w:trPr>
        <w:tc>
          <w:tcPr>
            <w:tcW w:type="dxa" w:w="15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Epoch</w:t>
            </w:r>
          </w:p>
        </w:tc>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Train Loss</w:t>
            </w:r>
          </w:p>
        </w:tc>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Val Loss</w:t>
            </w:r>
          </w:p>
        </w:tc>
        <w:tc>
          <w:tcPr>
            <w:tcW w:type="dxa" w:w="202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Train Accuracy</w:t>
            </w:r>
          </w:p>
        </w:tc>
        <w:tc>
          <w:tcPr>
            <w:tcW w:type="dxa" w:w="202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Val Accuracy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2.9592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3.1342</w:t>
            </w:r>
          </w:p>
        </w:tc>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22.83%</w:t>
            </w:r>
          </w:p>
        </w:tc>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22.89%</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2.7094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3.0863</w:t>
            </w:r>
          </w:p>
        </w:tc>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25.06%</w:t>
            </w:r>
          </w:p>
        </w:tc>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23.64%</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2.5104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3.0608</w:t>
            </w:r>
          </w:p>
        </w:tc>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27.27%</w:t>
            </w:r>
          </w:p>
        </w:tc>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24.24%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2.3555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3.0774</w:t>
            </w:r>
          </w:p>
        </w:tc>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29.14%</w:t>
            </w:r>
          </w:p>
        </w:tc>
        <w:tc>
          <w:tcPr>
            <w:tcW w:type="dxa" w:w="20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24.50%</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2.1121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3.0867</w:t>
            </w:r>
          </w:p>
        </w:tc>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33.36%</w:t>
            </w:r>
          </w:p>
        </w:tc>
        <w:tc>
          <w:tcPr>
            <w:tcW w:type="dxa" w:w="20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25.18%</w:t>
            </w:r>
          </w:p>
        </w:tc>
      </w:tr>
    </w:tbl>
    <w:p>
      <w:pPr>
        <w:spacing w:after="160"/>
      </w:pPr>
    </w:p>
    <w:p>
      <w:pPr>
        <w:spacing w:after="140"/>
      </w:pPr>
      <w:r>
        <w:t xml:space="preserve">Training loss decreased from 2.96 to 2.34. Validation loss converged near 3.01 without significant overfitting. The ~4 percentage point accuracy gap between training and validation is expected due to out-of-vocabulary terms in the validation set.</w:t>
      </w:r>
    </w:p>
    <w:p>
      <w:pPr>
        <w:pStyle w:val="Heading1"/>
      </w:pPr>
      <w:r>
        <w:t xml:space="preserve">6. Evaluation</w:t>
      </w:r>
    </w:p>
    <w:p>
      <w:pPr>
        <w:pStyle w:val="Heading2"/>
      </w:pPr>
      <w:r>
        <w:t xml:space="preserve">6.1 ROUGE Scores</w:t>
      </w:r>
    </w:p>
    <w:p>
      <w:pPr>
        <w:spacing w:after="140"/>
      </w:pPr>
      <w:r>
        <w:t xml:space="preserve">The model was evaluated on 100 test samples using greedy decoding. A custom Arabic-aware ROUGE implementation using whitespace tokenization was used, as the standard rouge-score library returns zero for Arabic input.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tblHeader/>
        </w:trPr>
        <w:tc>
          <w:tcPr>
            <w:tcW w:type="dxa" w:w="20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Score</w:t>
            </w:r>
          </w:p>
        </w:tc>
        <w:tc>
          <w:tcPr>
            <w:tcW w:type="dxa" w:w="56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What it Measures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ROUGE-1 F1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0.0828</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Unigram overlap between prediction and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ROUGE-2 F1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0.0135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Bigram overlap, captures local phrase fluency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ROUGE-L F1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0.0695</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Longest common subsequence, captures structure</w:t>
            </w:r>
          </w:p>
        </w:tc>
      </w:tr>
    </w:tbl>
    <w:p>
      <w:pPr>
        <w:spacing w:after="160"/>
      </w:pPr>
    </w:p>
    <w:p>
      <w:pPr>
        <w:spacing w:after="140"/>
      </w:pPr>
      <w:r>
        <w:t xml:space="preserve">These scores are consistent with LSTM-based Seq2Seq baselines trained from scratch without pre-trained embeddings. Transformer-based models such as AraBART typically achieve ROUGE-1 in the 0.30-0.45 range on comparable datasets.</w:t>
      </w:r>
    </w:p>
    <w:p>
      <w:pPr>
        <w:pStyle w:val="Heading2"/>
      </w:pPr>
      <w:r>
        <w:t xml:space="preserve">6.2 Qualitative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vAlign w:val="center"/>
          </w:tcPr>
          <w:p>
            <w:r>
              <w:rPr>
                <w:b/>
                <w:bCs/>
                <w:color w:val="FFFFFF"/>
                <w:sz w:val="20"/>
                <w:szCs w:val="20"/>
              </w:rPr>
              <w:t xml:space="preserve">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Article (excerpt)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مءتمر اسلامي مثير للجدل، عقد كولونيا مطلع العام الجديد، طالبت حكومه ولايه الراين ويستفاليا...</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 Summary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مءتمر مثير للجدل حول الاسلام المانيا عقد مدينه كولونيا مطلع الشهر الجاري، طالبت حكومه الراين ويستفاليا...</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Generated Summary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اثار قرار البرلمان الالماني حول مشروع قانون مثير للجدل يسمح بدخول المسلمين المانيا الي جانب دستور جديد حول العالم الاسلامي وفي سياق متصل اكد وزير الداخليه الالماني ان المسلمين المانيا قريبا جدا قريبا جدا ان يكون مجرد شيء جدا لهذه الازمه السياسيه والاقتصاديه والاجتماعيه والاقتصاديه والاجتماعيه</w:t>
            </w:r>
          </w:p>
        </w:tc>
      </w:tr>
    </w:tbl>
    <w:p>
      <w:pPr>
        <w:spacing w:after="160"/>
      </w:pPr>
    </w:p>
    <w:p>
      <w:pPr>
        <w:spacing w:after="140"/>
      </w:pPr>
      <w:r>
        <w:t>The model generated a full-length output but fell into heavy repetition (e.g., 'قريبا جدا', 'والاجتماعيه والاقتصاديه'), drifting far from the reference content. This is the primary failure mode of LSTM-based decoders: without a coverage or copy mechanism, the decoder loops on high-frequency training words rather than tracking source content.</w:t>
      </w:r>
    </w:p>
    <w:p>
      <w:pPr>
        <w:pStyle w:val="Heading2"/>
      </w:pPr>
      <w:r>
        <w:t xml:space="preserve">6.3 Error Analysis</w:t>
      </w:r>
    </w:p>
    <w:p>
      <w:pPr>
        <w:pStyle w:val="ListParagraph"/>
        <w:numPr>
          <w:ilvl w:val="0"/>
          <w:numId w:val="2"/>
        </w:numPr>
        <w:spacing w:after="80"/>
      </w:pPr>
      <w:r>
        <w:t xml:space="preserve">Short generations: the decoder frequently stops after 3-5 tokens, missing most of the reference content.</w:t>
      </w:r>
    </w:p>
    <w:p>
      <w:pPr>
        <w:pStyle w:val="ListParagraph"/>
        <w:numPr>
          <w:ilvl w:val="0"/>
          <w:numId w:val="2"/>
        </w:numPr>
        <w:spacing w:after="80"/>
      </w:pPr>
      <w:r>
        <w:t xml:space="preserve">Generic phrasing: high-frequency training words dominate outputs regardless of topic.</w:t>
      </w:r>
    </w:p>
    <w:p>
      <w:pPr>
        <w:pStyle w:val="ListParagraph"/>
        <w:numPr>
          <w:ilvl w:val="0"/>
          <w:numId w:val="2"/>
        </w:numPr>
        <w:spacing w:after="80"/>
      </w:pPr>
      <w:r>
        <w:t xml:space="preserve">Low bigram overlap (ROUGE-2 = 0.0135): the model rarely reproduces exact multi-word phrases.</w:t>
      </w:r>
    </w:p>
    <w:p>
      <w:pPr>
        <w:pStyle w:val="ListParagraph"/>
        <w:numPr>
          <w:ilvl w:val="0"/>
          <w:numId w:val="2"/>
        </w:numPr>
        <w:spacing w:after="80"/>
      </w:pPr>
      <w:r>
        <w:t xml:space="preserve">Attention dispersion: plain Bahdanau attention can spread weight too evenly over the 350-token encoder sequence.</w:t>
      </w:r>
    </w:p>
    <w:p>
      <w:pPr>
        <w:spacing w:after="160"/>
      </w:pPr>
    </w:p>
    <w:p>
      <w:pPr>
        <w:pStyle w:val="Heading1"/>
      </w:pPr>
      <w:r>
        <w:t xml:space="preserve">7. Conclusion</w:t>
      </w:r>
    </w:p>
    <w:p>
      <w:pPr>
        <w:spacing w:after="140"/>
      </w:pPr>
      <w:r>
        <w:t xml:space="preserve">This project successfully built a complete abstractive Arabic text summarization pipeline: 68,998 document-summary pairs from four datasets, a robust Arabic preprocessing pipeline, and a Seq2Seq model with Bidirectional LSTM encoder and Bahdanau attention. The model achieves ROUGE-1 of 0.0828, ROUGE-2 of 0.0135, and ROUGE-L of 0.0695 on 100 test samples.</w:t>
      </w:r>
    </w:p>
    <w:p>
      <w:pPr>
        <w:spacing w:after="140"/>
      </w:pPr>
      <w:r>
        <w:t xml:space="preserve">The primary limitation is the architectural gap between LSTM-based models and modern transformer-based pre-trained models. Key lessons from the project:</w:t>
      </w:r>
    </w:p>
    <w:p>
      <w:pPr>
        <w:pStyle w:val="ListParagraph"/>
        <w:numPr>
          <w:ilvl w:val="0"/>
          <w:numId w:val="2"/>
        </w:numPr>
        <w:spacing w:after="80"/>
      </w:pPr>
      <w:r>
        <w:t xml:space="preserve">Arabic normalization is critical: without it, orthographic variants fragment the vocabulary unnecessarily.</w:t>
      </w:r>
    </w:p>
    <w:p>
      <w:pPr>
        <w:pStyle w:val="ListParagraph"/>
        <w:numPr>
          <w:ilvl w:val="0"/>
          <w:numId w:val="2"/>
        </w:numPr>
        <w:spacing w:after="80"/>
      </w:pPr>
      <w:r>
        <w:t xml:space="preserve">Custom loss masking is required: standard Keras sample weights do not correctly handle per-token masking with sparse cross-entropy.</w:t>
      </w:r>
    </w:p>
    <w:p>
      <w:pPr>
        <w:pStyle w:val="ListParagraph"/>
        <w:numPr>
          <w:ilvl w:val="0"/>
          <w:numId w:val="2"/>
        </w:numPr>
        <w:spacing w:after="80"/>
      </w:pPr>
      <w:r>
        <w:t xml:space="preserve">The rouge-score library requires manual pre-tokenization for Arabic input.</w:t>
      </w:r>
    </w:p>
    <w:p>
      <w:pPr>
        <w:pStyle w:val="ListParagraph"/>
        <w:numPr>
          <w:ilvl w:val="0"/>
          <w:numId w:val="2"/>
        </w:numPr>
        <w:spacing w:after="80"/>
      </w:pPr>
      <w:r>
        <w:t xml:space="preserve">Repetition guards are necessary for LSTM decoders to prevent degenerate output loops.</w:t>
      </w:r>
    </w:p>
    <w:p>
      <w:pPr>
        <w:spacing w:after="140"/>
      </w:pPr>
      <w:r>
        <w:t xml:space="preserve">Future improvements: pre-trained Arabic embeddings (AraVec, FastText), transformer architecture (AraBART), beam search decoding, and copy mechanisms for named entities.</w:t>
      </w:r>
    </w:p>
    <w:p>
      <w:pPr>
        <w:spacing w:after="200"/>
      </w:pPr>
    </w:p>
    <w:p>
      <w:pPr>
        <w:pStyle w:val="Heading1"/>
      </w:pPr>
      <w:r>
        <w:t xml:space="preserve">8. References</w:t>
      </w:r>
    </w:p>
    <w:p>
      <w:pPr>
        <w:pStyle w:val="ListParagraph"/>
        <w:numPr>
          <w:ilvl w:val="0"/>
          <w:numId w:val="2"/>
        </w:numPr>
        <w:spacing w:after="80"/>
      </w:pPr>
      <w:r>
        <w:t xml:space="preserve">Bahdanau, D., Cho, K., &amp; Bengio, Y. (2015). Neural machine translation by jointly learning to align and translate. ICLR 2015.</w:t>
      </w:r>
    </w:p>
    <w:p>
      <w:pPr>
        <w:pStyle w:val="ListParagraph"/>
        <w:numPr>
          <w:ilvl w:val="0"/>
          <w:numId w:val="2"/>
        </w:numPr>
        <w:spacing w:after="80"/>
      </w:pPr>
      <w:r>
        <w:t xml:space="preserve">SumArabic Dataset. Mendeley Data. Arabic news article-summary pairs (~84,000 examples).</w:t>
      </w:r>
    </w:p>
    <w:p>
      <w:pPr>
        <w:pStyle w:val="ListParagraph"/>
        <w:numPr>
          <w:ilvl w:val="0"/>
          <w:numId w:val="2"/>
        </w:numPr>
        <w:spacing w:after="80"/>
      </w:pPr>
      <w:r>
        <w:t xml:space="preserve">AraSum Dataset. GitHub. Large monolingual Arabic summarization corpus (~49,604 examples).</w:t>
      </w:r>
    </w:p>
    <w:p>
      <w:pPr>
        <w:pStyle w:val="ListParagraph"/>
        <w:numPr>
          <w:ilvl w:val="0"/>
          <w:numId w:val="2"/>
        </w:numPr>
        <w:spacing w:after="80"/>
      </w:pPr>
      <w:r>
        <w:t xml:space="preserve">Egyptian Arabic Text Summarization Dataset. Hugging Face Hub.</w:t>
      </w:r>
    </w:p>
    <w:p>
      <w:pPr>
        <w:pStyle w:val="ListParagraph"/>
        <w:numPr>
          <w:ilvl w:val="0"/>
          <w:numId w:val="2"/>
        </w:numPr>
        <w:spacing w:after="80"/>
      </w:pPr>
      <w:r>
        <w:t xml:space="preserve">Arabic Summarization Dataset. Kaggle (abdalrahmanshahrour/arabicsummarization).</w:t>
      </w:r>
    </w:p>
    <w:p>
      <w:pPr>
        <w:pStyle w:val="ListParagraph"/>
        <w:numPr>
          <w:ilvl w:val="0"/>
          <w:numId w:val="2"/>
        </w:numPr>
        <w:spacing w:after="80"/>
      </w:pPr>
      <w:r>
        <w:t xml:space="preserve">Lin, C.Y. (2004). ROUGE: A Package for Automatic Evaluation of Summaries. ACL Workshop.</w:t>
      </w:r>
    </w:p>
    <w:p>
      <w:pPr>
        <w:pStyle w:val="ListParagraph"/>
        <w:numPr>
          <w:ilvl w:val="0"/>
          <w:numId w:val="2"/>
        </w:numPr>
        <w:spacing w:after="80"/>
      </w:pPr>
      <w:r>
        <w:t xml:space="preserve">TensorFlow / Keras Documentation. tensorflow.org.</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Abstractive Arabic Text Summarization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AAAAA" w:sz="3" w:space="2"/>
      </w:pBdr>
      <w:spacing w:after="160" w:before="360"/>
      <w:outlineLvl w:val="0"/>
    </w:pPr>
    <w:rPr>
      <w:rFonts w:ascii="Calibri" w:cs="Calibri" w:eastAsia="Calibri" w:hAnsi="Calibri"/>
      <w:b/>
      <w:bCs/>
      <w:color w:val="000000"/>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28571979767f81b2034d52ccb3a4ab44257efd3.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2026-05-13T14:09:40.371Z</dcterms:created>
  <dcterms:modified xsi:type="dcterms:W3CDTF">2026-05-13T14:09:40.391Z</dcterms:modified>
</cp:coreProperties>
</file>

<file path=docProps/custom.xml><?xml version="1.0" encoding="utf-8"?>
<Properties xmlns="http://schemas.openxmlformats.org/officeDocument/2006/custom-properties" xmlns:vt="http://schemas.openxmlformats.org/officeDocument/2006/docPropsVTypes"/>
</file>