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color w:val="000000"/>
          <w:sz w:val="24"/>
          <w:szCs w:val="24"/>
        </w:rPr>
        <w:t xml:space="preserve">Respuesta a la carta de SEPSA</w:t>
      </w:r>
    </w:p>
    <w:p>
      <w:pPr>
        <w:spacing w:after="0" w:before="0" w:line="480" w:lineRule="auto"/>
        <w:jc w:val="center"/>
      </w:pPr>
      <w:r>
        <w:rPr>
          <w:rFonts w:ascii="Times New Roman" w:cs="Times New Roman" w:eastAsia="Times New Roman" w:hAnsi="Times New Roman"/>
          <w:color w:val="000000"/>
          <w:sz w:val="24"/>
          <w:szCs w:val="24"/>
        </w:rPr>
        <w:t xml:space="preserve">Piloto provisional del sistema de cortes y reconexiones</w:t>
      </w:r>
    </w:p>
    <w:p>
      <w:pPr>
        <w:pStyle w:val="Heading1"/>
      </w:pPr>
      <w:r>
        <w:rPr>
          <w:rFonts w:ascii="Times New Roman" w:cs="Times New Roman" w:eastAsia="Times New Roman" w:hAnsi="Times New Roman"/>
          <w:b/>
          <w:bCs/>
          <w:color w:val="000000"/>
          <w:sz w:val="24"/>
          <w:szCs w:val="24"/>
        </w:rPr>
        <w:t xml:space="preserve">Requerimientos Funcionales y Técnicos, y Procesos de Cortes y Reconexiones</w:t>
      </w:r>
    </w:p>
    <w:p>
      <w:pPr>
        <w:pStyle w:val="Heading2"/>
      </w:pPr>
      <w:r>
        <w:rPr>
          <w:rFonts w:ascii="Times New Roman" w:cs="Times New Roman" w:eastAsia="Times New Roman" w:hAnsi="Times New Roman"/>
          <w:b/>
          <w:bCs/>
          <w:color w:val="000000"/>
          <w:sz w:val="24"/>
          <w:szCs w:val="24"/>
        </w:rPr>
        <w:t xml:space="preserve">Requisitos Funcionales</w:t>
      </w:r>
    </w:p>
    <w:p>
      <w:pPr>
        <w:spacing w:after="0" w:before="0" w:line="480" w:lineRule="auto"/>
        <w:ind w:firstLine="720"/>
        <w:jc w:val="left"/>
      </w:pPr>
      <w:r>
        <w:rPr>
          <w:rFonts w:ascii="Times New Roman" w:cs="Times New Roman" w:eastAsia="Times New Roman" w:hAnsi="Times New Roman"/>
          <w:color w:val="000000"/>
          <w:sz w:val="24"/>
          <w:szCs w:val="24"/>
        </w:rPr>
        <w:t xml:space="preserve">El administrador busca a los clientes con deuda, aplicando filtros, y crea órdenes de corte de forma individual o en lote, asignándolas a un técnico. No puede existir más de una orden activa para el mismo suministro. Cada acción queda registrada en la auditoría con el responsable, la fecha y el resultado. Solo el administrador puede consultar la auditoría.</w:t>
      </w:r>
    </w:p>
    <w:p>
      <w:pPr>
        <w:spacing w:after="0" w:before="0" w:line="480" w:lineRule="auto"/>
        <w:ind w:firstLine="720"/>
        <w:jc w:val="left"/>
      </w:pPr>
      <w:r>
        <w:rPr>
          <w:rFonts w:ascii="Times New Roman" w:cs="Times New Roman" w:eastAsia="Times New Roman" w:hAnsi="Times New Roman"/>
          <w:color w:val="000000"/>
          <w:sz w:val="24"/>
          <w:szCs w:val="24"/>
        </w:rPr>
        <w:t xml:space="preserve">El técnico ve únicamente las órdenes que le fueron asignadas. Puede trabajar sin conexión, y lo que registra queda guardado en su dispositivo hasta que el servidor lo confirma. Los mensajes de error indican qué quedó guardado y cuál es el siguiente paso.</w:t>
      </w:r>
    </w:p>
    <w:p>
      <w:pPr>
        <w:pStyle w:val="Heading2"/>
      </w:pPr>
      <w:r>
        <w:rPr>
          <w:rFonts w:ascii="Times New Roman" w:cs="Times New Roman" w:eastAsia="Times New Roman" w:hAnsi="Times New Roman"/>
          <w:b/>
          <w:bCs/>
          <w:color w:val="000000"/>
          <w:sz w:val="24"/>
          <w:szCs w:val="24"/>
        </w:rPr>
        <w:t xml:space="preserve">Requisitos Técnicos</w:t>
      </w:r>
    </w:p>
    <w:p>
      <w:pPr>
        <w:spacing w:after="0" w:before="0" w:line="480" w:lineRule="auto"/>
        <w:ind w:firstLine="720"/>
        <w:jc w:val="left"/>
      </w:pPr>
      <w:r>
        <w:rPr>
          <w:rFonts w:ascii="Times New Roman" w:cs="Times New Roman" w:eastAsia="Times New Roman" w:hAnsi="Times New Roman"/>
          <w:color w:val="000000"/>
          <w:sz w:val="24"/>
          <w:szCs w:val="24"/>
        </w:rPr>
        <w:t xml:space="preserve">La aplicación funciona en el navegador de computadoras y teléfonos, y puede instalarse en el teléfono del técnico. El servidor valida cada permiso y cada operación, y la base de datos guarda la información de forma permanente. Las fotografías se conservan y el sistema no las borra. Los montos se registran en unidades exactas, sin errores de redondeo.</w:t>
      </w:r>
    </w:p>
    <w:p>
      <w:pPr>
        <w:pStyle w:val="Heading2"/>
      </w:pPr>
      <w:r>
        <w:rPr>
          <w:rFonts w:ascii="Times New Roman" w:cs="Times New Roman" w:eastAsia="Times New Roman" w:hAnsi="Times New Roman"/>
          <w:b/>
          <w:bCs/>
          <w:color w:val="000000"/>
          <w:sz w:val="24"/>
          <w:szCs w:val="24"/>
        </w:rPr>
        <w:t xml:space="preserve">Proceso de Corte</w:t>
      </w:r>
    </w:p>
    <w:p>
      <w:pPr>
        <w:spacing w:after="0" w:before="0" w:line="480" w:lineRule="auto"/>
        <w:ind w:firstLine="720"/>
        <w:jc w:val="left"/>
      </w:pPr>
      <w:r>
        <w:rPr>
          <w:rFonts w:ascii="Times New Roman" w:cs="Times New Roman" w:eastAsia="Times New Roman" w:hAnsi="Times New Roman"/>
          <w:color w:val="000000"/>
          <w:sz w:val="24"/>
          <w:szCs w:val="24"/>
        </w:rPr>
        <w:t xml:space="preserve">El corte se realiza en los siguientes pasos:</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El administrador busca el suministro, crea la orden y asigna el técnico.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El técnico descarga sus órdenes, incluso sin conexión, y las revisa en campo.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En el lugar, el técnico registra la lectura final del medidor, la ubicación GPS y una fotografía. Si no puede obtener la ubicación o la foto, registra una excepción con el motivo por escrito. La lectura final es obligatoria.</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Antes de cortar, la aplicación solicita al servidor una autorización en línea. Solo es válida si está vigente, es de un solo uso y corresponde a esa orden, a ese técnico y a ese dispositivo.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Sin autorización confirmada no se corta. Si el servidor la rechaza, la visita queda bloqueada. Si la respuesta no es clara, el resultado queda pendiente de revisión y tampoco se corta.</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Confirmado el corte, el técnico envía la fotografía y el registro. El servidor acepta el corte solo cuando la fotografía llegó y corresponde a la operación.</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Si la comunicación se pierde después del envío, el sistema consulta el resultado con el mismo identificador y no repite el envío original.</w:t>
      </w:r>
    </w:p>
    <w:p>
      <w:pPr>
        <w:spacing w:after="0" w:before="0" w:line="480" w:lineRule="auto"/>
        <w:ind w:firstLine="720"/>
        <w:jc w:val="left"/>
      </w:pPr>
      <w:r>
        <w:rPr>
          <w:rFonts w:ascii="Times New Roman" w:cs="Times New Roman" w:eastAsia="Times New Roman" w:hAnsi="Times New Roman"/>
          <w:color w:val="000000"/>
          <w:sz w:val="24"/>
          <w:szCs w:val="24"/>
        </w:rPr>
        <w:t xml:space="preserve">El técnico también puede registrar una visita sin afirmar que hubo corte. La Figura 1 resume el recorrido del corte.</w:t>
      </w:r>
    </w:p>
    <w:p>
      <w:pPr>
        <w:keepNext/>
        <w:spacing w:after="0" w:before="0" w:line="240"/>
      </w:pPr>
      <w:r>
        <w:rPr>
          <w:rFonts w:ascii="Times New Roman" w:cs="Times New Roman" w:eastAsia="Times New Roman" w:hAnsi="Times New Roman"/>
          <w:b/>
          <w:bCs/>
          <w:color w:val="000000"/>
          <w:sz w:val="24"/>
          <w:szCs w:val="24"/>
        </w:rPr>
        <w:t xml:space="preserve">Figura 1</w:t>
      </w:r>
    </w:p>
    <w:p>
      <w:pPr>
        <w:keepNext/>
        <w:spacing w:after="160" w:before="0" w:line="240"/>
      </w:pPr>
      <w:r>
        <w:rPr>
          <w:rFonts w:ascii="Times New Roman" w:cs="Times New Roman" w:eastAsia="Times New Roman" w:hAnsi="Times New Roman"/>
          <w:i/>
          <w:iCs/>
          <w:color w:val="000000"/>
          <w:sz w:val="24"/>
          <w:szCs w:val="24"/>
        </w:rPr>
        <w:t xml:space="preserve">Flujo del corte, desde la orden hasta el registro confirmado</w:t>
      </w:r>
    </w:p>
    <w:p>
      <w:pPr>
        <w:spacing w:after="240" w:before="0" w:line="240"/>
        <w:jc w:val="center"/>
      </w:pPr>
      <w:r>
        <w:drawing>
          <wp:inline distT="0" distB="0" distL="0" distR="0">
            <wp:extent cx="566737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000500"/>
                    </a:xfrm>
                    <a:prstGeom prst="rect">
                      <a:avLst/>
                    </a:prstGeom>
                  </pic:spPr>
                </pic:pic>
              </a:graphicData>
            </a:graphic>
          </wp:inline>
        </w:drawing>
      </w:r>
    </w:p>
    <w:p>
      <w:pPr>
        <w:pStyle w:val="Heading2"/>
      </w:pPr>
      <w:r>
        <w:rPr>
          <w:rFonts w:ascii="Times New Roman" w:cs="Times New Roman" w:eastAsia="Times New Roman" w:hAnsi="Times New Roman"/>
          <w:b/>
          <w:bCs/>
          <w:color w:val="000000"/>
          <w:sz w:val="24"/>
          <w:szCs w:val="24"/>
        </w:rPr>
        <w:t xml:space="preserve">Proceso de Reconexión</w:t>
      </w:r>
    </w:p>
    <w:p>
      <w:pPr>
        <w:spacing w:after="0" w:before="0" w:line="480" w:lineRule="auto"/>
        <w:ind w:firstLine="720"/>
        <w:jc w:val="left"/>
      </w:pPr>
      <w:r>
        <w:rPr>
          <w:rFonts w:ascii="Times New Roman" w:cs="Times New Roman" w:eastAsia="Times New Roman" w:hAnsi="Times New Roman"/>
          <w:color w:val="000000"/>
          <w:sz w:val="24"/>
          <w:szCs w:val="24"/>
        </w:rPr>
        <w:t xml:space="preserve">La reconexión solo puede registrarse sobre un corte confirmado. Antes de confirmarla, el sistema solicita una habilitación en línea de un solo uso, vinculada a la orden, al técnico y al dispositivo. Cuando el servidor la confirma, la orden pasa al estado de reconexión. Si la confirmación no llega, el técnico la verifica con el servidor sin repetir la acción en campo. Si la habilitación no se utilizó, puede solicitarse una nueva.</w:t>
      </w:r>
    </w:p>
    <w:p>
      <w:pPr>
        <w:spacing w:after="0" w:before="0" w:line="480" w:lineRule="auto"/>
        <w:ind w:firstLine="720"/>
        <w:jc w:val="left"/>
      </w:pPr>
      <w:r>
        <w:rPr>
          <w:rFonts w:ascii="Times New Roman" w:cs="Times New Roman" w:eastAsia="Times New Roman" w:hAnsi="Times New Roman"/>
          <w:color w:val="000000"/>
          <w:sz w:val="24"/>
          <w:szCs w:val="24"/>
        </w:rPr>
        <w:t xml:space="preserve">Las órdenes avanzan en este orden: generada, ejecutada y reconectada.</w:t>
      </w:r>
    </w:p>
    <w:p>
      <w:pPr>
        <w:pStyle w:val="Heading1"/>
        <w:pageBreakBefore/>
      </w:pPr>
      <w:r>
        <w:rPr>
          <w:rFonts w:ascii="Times New Roman" w:cs="Times New Roman" w:eastAsia="Times New Roman" w:hAnsi="Times New Roman"/>
          <w:b/>
          <w:bCs/>
          <w:color w:val="000000"/>
          <w:sz w:val="24"/>
          <w:szCs w:val="24"/>
        </w:rPr>
        <w:t xml:space="preserve">Arquitectura de la Solución, Tecnologías, Modelo de Datos, Diccionario de Datos y Documentación del Código Fuente</w:t>
      </w:r>
    </w:p>
    <w:p>
      <w:pPr>
        <w:pStyle w:val="Heading2"/>
      </w:pPr>
      <w:r>
        <w:rPr>
          <w:rFonts w:ascii="Times New Roman" w:cs="Times New Roman" w:eastAsia="Times New Roman" w:hAnsi="Times New Roman"/>
          <w:b/>
          <w:bCs/>
          <w:color w:val="000000"/>
          <w:sz w:val="24"/>
          <w:szCs w:val="24"/>
        </w:rPr>
        <w:t xml:space="preserve">Arquitectura</w:t>
      </w:r>
    </w:p>
    <w:p>
      <w:pPr>
        <w:spacing w:after="0" w:before="0" w:line="480" w:lineRule="auto"/>
        <w:ind w:firstLine="720"/>
        <w:jc w:val="left"/>
      </w:pPr>
      <w:r>
        <w:rPr>
          <w:rFonts w:ascii="Times New Roman" w:cs="Times New Roman" w:eastAsia="Times New Roman" w:hAnsi="Times New Roman"/>
          <w:color w:val="000000"/>
          <w:sz w:val="24"/>
          <w:szCs w:val="24"/>
        </w:rPr>
        <w:t xml:space="preserve">La solución tiene tres partes: la aplicación del técnico y del administrador, que funciona en el navegador y guarda datos en el dispositivo; un servidor que valida cada permiso y cada operación; y una base de datos PostgreSQL, que es la fuente oficial de la información del piloto. El servidor es provisional: no es la interfaz oficial de SEPSA y deberá adaptarse a la que SEPSA defina.</w:t>
      </w:r>
    </w:p>
    <w:p>
      <w:pPr>
        <w:pStyle w:val="Heading2"/>
      </w:pPr>
      <w:r>
        <w:rPr>
          <w:rFonts w:ascii="Times New Roman" w:cs="Times New Roman" w:eastAsia="Times New Roman" w:hAnsi="Times New Roman"/>
          <w:b/>
          <w:bCs/>
          <w:color w:val="000000"/>
          <w:sz w:val="24"/>
          <w:szCs w:val="24"/>
        </w:rPr>
        <w:t xml:space="preserve">Tecnologías Utilizadas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Aplicación: React, TypeScript y Vite, como aplicación web instalable.</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Almacenamiento en el dispositivo: IndexedDB.</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Servidor: Node.js 22.12 o superior, con TypeScript.</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Base de datos: PostgreSQL 16.</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Pruebas: Vitest y node:test.</w:t>
      </w:r>
    </w:p>
    <w:p>
      <w:pPr>
        <w:pStyle w:val="Heading2"/>
      </w:pPr>
      <w:r>
        <w:rPr>
          <w:rFonts w:ascii="Times New Roman" w:cs="Times New Roman" w:eastAsia="Times New Roman" w:hAnsi="Times New Roman"/>
          <w:b/>
          <w:bCs/>
          <w:color w:val="000000"/>
          <w:sz w:val="24"/>
          <w:szCs w:val="24"/>
        </w:rPr>
        <w:t xml:space="preserve">Modelo de Datos</w:t>
      </w:r>
    </w:p>
    <w:p>
      <w:pPr>
        <w:spacing w:after="0" w:before="0" w:line="480" w:lineRule="auto"/>
        <w:ind w:firstLine="720"/>
        <w:jc w:val="left"/>
      </w:pPr>
      <w:r>
        <w:rPr>
          <w:rFonts w:ascii="Times New Roman" w:cs="Times New Roman" w:eastAsia="Times New Roman" w:hAnsi="Times New Roman"/>
          <w:color w:val="000000"/>
          <w:sz w:val="24"/>
          <w:szCs w:val="24"/>
        </w:rPr>
        <w:t xml:space="preserve">La base de datos tiene 13 tablas que agrupan la información en siete bloques: usuarios y sesiones; morosos y suministros; órdenes y asignaciones; autorizaciones de corte y reconexión; operaciones enviadas desde los dispositivos; fotografías de evidencia; y auditoría. La base impide duplicar órdenes activas y reutilizar autorizaciones, y la auditoría solo admite registros nuevos. La Figura 2 muestra las tablas y sus relaciones.</w:t>
      </w:r>
    </w:p>
    <w:p>
      <w:pPr>
        <w:pStyle w:val="Heading2"/>
      </w:pPr>
      <w:r>
        <w:rPr>
          <w:rFonts w:ascii="Times New Roman" w:cs="Times New Roman" w:eastAsia="Times New Roman" w:hAnsi="Times New Roman"/>
          <w:b/>
          <w:bCs/>
          <w:color w:val="000000"/>
          <w:sz w:val="24"/>
          <w:szCs w:val="24"/>
        </w:rPr>
        <w:t xml:space="preserve">Diccionario de Datos</w:t>
      </w:r>
    </w:p>
    <w:p>
      <w:pPr>
        <w:spacing w:after="0" w:before="0" w:line="480" w:lineRule="auto"/>
        <w:ind w:firstLine="720"/>
        <w:jc w:val="left"/>
      </w:pPr>
      <w:r>
        <w:rPr>
          <w:rFonts w:ascii="Times New Roman" w:cs="Times New Roman" w:eastAsia="Times New Roman" w:hAnsi="Times New Roman"/>
          <w:color w:val="000000"/>
          <w:sz w:val="24"/>
          <w:szCs w:val="24"/>
        </w:rPr>
        <w:t xml:space="preserve">El diccionario describe las 13 tablas de la base de datos del piloto, con su función y sus campos principales. El detalle completo de los 147 campos forma parte de la documentación técnica.</w:t>
      </w:r>
    </w:p>
    <w:p>
      <w:pPr>
        <w:keepNext/>
        <w:spacing w:after="0" w:before="0" w:line="240"/>
      </w:pPr>
      <w:r>
        <w:rPr>
          <w:rFonts w:ascii="Times New Roman" w:cs="Times New Roman" w:eastAsia="Times New Roman" w:hAnsi="Times New Roman"/>
          <w:b/>
          <w:bCs/>
          <w:color w:val="000000"/>
          <w:sz w:val="24"/>
          <w:szCs w:val="24"/>
        </w:rPr>
        <w:t xml:space="preserve">Tabla 1</w:t>
      </w:r>
    </w:p>
    <w:p>
      <w:pPr>
        <w:keepNext/>
        <w:spacing w:after="160" w:before="0" w:line="240"/>
      </w:pPr>
      <w:r>
        <w:rPr>
          <w:rFonts w:ascii="Times New Roman" w:cs="Times New Roman" w:eastAsia="Times New Roman" w:hAnsi="Times New Roman"/>
          <w:i/>
          <w:iCs/>
          <w:color w:val="000000"/>
          <w:sz w:val="24"/>
          <w:szCs w:val="24"/>
        </w:rPr>
        <w:t xml:space="preserve">Tablas de la base de datos del piloto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100"/>
        <w:gridCol w:w="2900"/>
        <w:gridCol w:w="4360"/>
      </w:tblGrid>
      <w:tr>
        <w:trPr>
          <w:tblHeader/>
        </w:trPr>
        <w:tc>
          <w:tcPr>
            <w:tcW w:type="dxa" w:w="21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Tabla</w:t>
            </w:r>
          </w:p>
        </w:tc>
        <w:tc>
          <w:tcPr>
            <w:tcW w:type="dxa" w:w="29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Qué guarda</w:t>
            </w:r>
          </w:p>
        </w:tc>
        <w:tc>
          <w:tcPr>
            <w:tcW w:type="dxa" w:w="436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Campos principales</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Usuarios</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Cuentas de administradores y técnicos</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Nombre de acceso, nombre visible, rol inicial, contraseña protegida y si la cuenta está activa</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Roles de usuario</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Roles que tiene cada usuario</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Usuario y rol concedido (administrador o técnico)</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Sesiones</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Accesos abiertos al sistema</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Usuario, rol activo, fecha de vencimiento y fecha de cierre</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Morosos y suministros</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Clientes con deuda cargados para el piloto</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Cuenta, suministro, nombre, dirección, medidor, área, localidad, ruta, deuda en centavos y meses pendientes</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Órdenes de corte</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Órdenes generadas para cada suministro</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Código de la orden, suministro, estado, estado físico, versión y técnico asignado</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Asignaciones de órdenes</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Historial de asignaciones de cada orden</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Orden, técnico asignado, técnico anterior, quién asignó y fecha</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Operaciones de comando</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Acciones ejecutadas por un usuario</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Identificador de la operación, usuario, tipo, estado y respuesta guardada</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Autorizaciones de corte</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Permisos de un solo uso para cortar o reconectar</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Orden, técnico, dispositivo, estado, vencimiento y fecha de uso</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Operaciones de sincronización</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Operaciones enviadas desde el dispositivo del técnico</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Técnico, dispositivo, orden, tipo (corte, visita o reconexión), contenido, estado y motivo de conflicto</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Evidencias fotográficas</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Fotografías de cada corte o visita</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Orden, operación, técnico, dispositivo, tipo de imagen, huella de verificación e imagen</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Versiones del paquete de trabajo</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Última versión de órdenes entregada a cada técnico y dispositivo</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Técnico, dispositivo y última versión</w:t>
            </w:r>
          </w:p>
        </w:tc>
      </w:tr>
      <w:tr>
        <w:tc>
          <w:tcPr>
            <w:tcW w:type="dxa" w:w="2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Eventos de auditoría</w:t>
            </w:r>
          </w:p>
        </w:tc>
        <w:tc>
          <w:tcPr>
            <w:tcW w:type="dxa" w:w="29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Registro de las acciones del sistema</w:t>
            </w:r>
          </w:p>
        </w:tc>
        <w:tc>
          <w:tcPr>
            <w:tcW w:type="dxa" w:w="43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Usuario, rol, acción, orden, resultado, motivo y fecha</w:t>
            </w:r>
          </w:p>
        </w:tc>
      </w:tr>
      <w:tr>
        <w:tc>
          <w:tcPr>
            <w:tcW w:type="dxa" w:w="21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Observaciones de pago (legado)</w:t>
            </w:r>
          </w:p>
        </w:tc>
        <w:tc>
          <w:tcPr>
            <w:tcW w:type="dxa" w:w="29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Datos heredados de pagos, sin uso en el piloto</w:t>
            </w:r>
          </w:p>
        </w:tc>
        <w:tc>
          <w:tcPr>
            <w:tcW w:type="dxa" w:w="436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Operación, orden, cuenta, suministro y fecha</w:t>
            </w:r>
          </w:p>
        </w:tc>
      </w:tr>
    </w:tbl>
    <w:p>
      <w:pPr>
        <w:spacing w:after="0" w:before="0" w:line="240"/>
      </w:pPr>
      <w:r>
        <w:rPr>
          <w:rFonts w:ascii="Times New Roman" w:cs="Times New Roman" w:eastAsia="Times New Roman" w:hAnsi="Times New Roman"/>
          <w:sz w:val="24"/>
          <w:szCs w:val="24"/>
        </w:rPr>
        <w:t xml:space="preserve"/>
      </w:r>
    </w:p>
    <w:p>
      <w:pPr>
        <w:pStyle w:val="Heading2"/>
      </w:pPr>
      <w:r>
        <w:rPr>
          <w:rFonts w:ascii="Times New Roman" w:cs="Times New Roman" w:eastAsia="Times New Roman" w:hAnsi="Times New Roman"/>
          <w:b/>
          <w:bCs/>
          <w:color w:val="000000"/>
          <w:sz w:val="24"/>
          <w:szCs w:val="24"/>
        </w:rPr>
        <w:t xml:space="preserve">Documentación del Código Fuente</w:t>
      </w:r>
    </w:p>
    <w:p>
      <w:pPr>
        <w:spacing w:after="0" w:before="0" w:line="480" w:lineRule="auto"/>
        <w:ind w:firstLine="720"/>
        <w:jc w:val="left"/>
      </w:pPr>
      <w:r>
        <w:rPr>
          <w:rFonts w:ascii="Times New Roman" w:cs="Times New Roman" w:eastAsia="Times New Roman" w:hAnsi="Times New Roman"/>
          <w:color w:val="000000"/>
          <w:sz w:val="24"/>
          <w:szCs w:val="24"/>
        </w:rPr>
        <w:t xml:space="preserve">El código se organiza en carpetas separadas para la aplicación del técnico y del administrador, y para el servidor. Cada parte tiene una sola responsabilidad: un controlador no ejecuta consultas a la base, y solo el repositorio las ejecuta.</w:t>
      </w:r>
    </w:p>
    <w:p>
      <w:pPr>
        <w:keepNext/>
        <w:spacing w:after="0" w:before="0" w:line="240"/>
      </w:pPr>
      <w:r>
        <w:rPr>
          <w:rFonts w:ascii="Times New Roman" w:cs="Times New Roman" w:eastAsia="Times New Roman" w:hAnsi="Times New Roman"/>
          <w:b/>
          <w:bCs/>
          <w:color w:val="000000"/>
          <w:sz w:val="24"/>
          <w:szCs w:val="24"/>
        </w:rPr>
        <w:t xml:space="preserve">Tabla 2</w:t>
      </w:r>
    </w:p>
    <w:p>
      <w:pPr>
        <w:keepNext/>
        <w:spacing w:after="160" w:before="0" w:line="240"/>
      </w:pPr>
      <w:r>
        <w:rPr>
          <w:rFonts w:ascii="Times New Roman" w:cs="Times New Roman" w:eastAsia="Times New Roman" w:hAnsi="Times New Roman"/>
          <w:i/>
          <w:iCs/>
          <w:color w:val="000000"/>
          <w:sz w:val="24"/>
          <w:szCs w:val="24"/>
        </w:rPr>
        <w:t xml:space="preserve">Responsabilidad de los archivos principales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0"/>
        <w:gridCol w:w="5960"/>
      </w:tblGrid>
      <w:tr>
        <w:trPr>
          <w:tblHeader/>
        </w:trPr>
        <w:tc>
          <w:tcPr>
            <w:tcW w:type="dxa" w:w="34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Archivo o carpeta</w:t>
            </w:r>
          </w:p>
        </w:tc>
        <w:tc>
          <w:tcPr>
            <w:tcW w:type="dxa" w:w="596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Responsabilidad</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field-app/src/App.tsx y TechnicianRuntime.tsx</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Arranque de la aplicación, sesión y pantalla según el rol</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field-app/src/domain/</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Reglas de negocio para el corte, la reconexión y la visita</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field-app/src/use-cases/</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Acciones del técnico y del administrador: corte, reconexión, visita, sincronización, descarga y administración</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field-app/src/ports/</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Contratos que la aplicación necesita del almacenamiento, del servidor y de la conexión</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field-app/src/adapters/indexeddb/</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Guardado local en el dispositivo: órdenes, operaciones, cola y fotos</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field-app/src/adapters/http/</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Comunicación con el servidor</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field-app/src/state/</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Estado de la jornada que se muestra en pantalla</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backend/src/server.ts</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Arranque del servidor, configuración y conexión a la base</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backend/src/http/</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Cabeceras, sesión, errores y la lista de rutas</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backend/src/controllers/</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Recibe cada solicitud, valida el rol y la forma de los datos; no ejecuta consultas</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backend/src/services/</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Reglas de negocio: duplicados, versiones, autorizaciones, sincronización y auditoría</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backend/src/repositories/</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Consultas SQL a la base de datos</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backend/sql/</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Migraciones del esquema (001 a 008) y datos de prueba</w:t>
            </w:r>
          </w:p>
        </w:tc>
      </w:tr>
      <w:tr>
        <w:tc>
          <w:tcPr>
            <w:tcW w:type="dxa" w:w="3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backend/openapi/</w:t>
            </w:r>
          </w:p>
        </w:tc>
        <w:tc>
          <w:tcPr>
            <w:tcW w:type="dxa" w:w="59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Descripción formal de las rutas del servidor</w:t>
            </w:r>
          </w:p>
        </w:tc>
      </w:tr>
      <w:tr>
        <w:tc>
          <w:tcPr>
            <w:tcW w:type="dxa" w:w="34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.github/workflows/ci.yml</w:t>
            </w:r>
          </w:p>
        </w:tc>
        <w:tc>
          <w:tcPr>
            <w:tcW w:type="dxa" w:w="596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Ejecuta las pruebas automáticamente</w:t>
            </w:r>
          </w:p>
        </w:tc>
      </w:tr>
    </w:tbl>
    <w:p>
      <w:pPr>
        <w:spacing w:after="0" w:before="0" w:line="240"/>
        <w:sectPr>
          <w:headerReference w:type="default" r:id="rId6"/>
          <w:pgSz w:w="12240" w:h="15840" w:orient="portrait"/>
          <w:pgMar w:top="1440" w:right="1440" w:bottom="1440" w:left="1440" w:header="708" w:footer="708" w:gutter="0"/>
          <w:pgNumType/>
          <w:docGrid w:linePitch="360"/>
        </w:sectPr>
      </w:pPr>
      <w:r>
        <w:rPr>
          <w:rFonts w:ascii="Times New Roman" w:cs="Times New Roman" w:eastAsia="Times New Roman" w:hAnsi="Times New Roman"/>
          <w:sz w:val="24"/>
          <w:szCs w:val="24"/>
        </w:rPr>
        <w:t xml:space="preserve"/>
      </w:r>
    </w:p>
    <w:p>
      <w:pPr>
        <w:keepNext/>
        <w:spacing w:after="0" w:before="0" w:line="240"/>
      </w:pPr>
      <w:r>
        <w:rPr>
          <w:rFonts w:ascii="Times New Roman" w:cs="Times New Roman" w:eastAsia="Times New Roman" w:hAnsi="Times New Roman"/>
          <w:b/>
          <w:bCs/>
          <w:color w:val="000000"/>
          <w:sz w:val="24"/>
          <w:szCs w:val="24"/>
        </w:rPr>
        <w:t xml:space="preserve">Figura 2</w:t>
      </w:r>
    </w:p>
    <w:p>
      <w:pPr>
        <w:keepNext/>
        <w:spacing w:after="160" w:before="0" w:line="240"/>
      </w:pPr>
      <w:r>
        <w:rPr>
          <w:rFonts w:ascii="Times New Roman" w:cs="Times New Roman" w:eastAsia="Times New Roman" w:hAnsi="Times New Roman"/>
          <w:i/>
          <w:iCs/>
          <w:color w:val="000000"/>
          <w:sz w:val="24"/>
          <w:szCs w:val="24"/>
        </w:rPr>
        <w:t xml:space="preserve">Modelo entidad-relación de la base de datos del piloto</w:t>
      </w:r>
    </w:p>
    <w:p>
      <w:pPr>
        <w:spacing w:after="0" w:before="0" w:line="240"/>
        <w:jc w:val="center"/>
        <w:sectPr>
          <w:headerReference w:type="default" r:id="rId7"/>
          <w:pgSz w:w="15840" w:h="12240" w:orient="landscape"/>
          <w:pgMar w:top="1080" w:right="1080" w:bottom="1080" w:left="1080" w:header="708" w:footer="708" w:gutter="0"/>
          <w:pgNumType/>
          <w:docGrid w:linePitch="360"/>
        </w:sectPr>
      </w:pPr>
      <w:r>
        <w:drawing>
          <wp:inline distT="0" distB="0" distL="0" distR="0">
            <wp:extent cx="8686800" cy="3600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0" cy="3600450"/>
                    </a:xfrm>
                    <a:prstGeom prst="rect">
                      <a:avLst/>
                    </a:prstGeom>
                  </pic:spPr>
                </pic:pic>
              </a:graphicData>
            </a:graphic>
          </wp:inline>
        </w:drawing>
      </w:r>
    </w:p>
    <w:p>
      <w:pPr>
        <w:pStyle w:val="Heading1"/>
        <w:pageBreakBefore/>
      </w:pPr>
      <w:r>
        <w:rPr>
          <w:rFonts w:ascii="Times New Roman" w:cs="Times New Roman" w:eastAsia="Times New Roman" w:hAnsi="Times New Roman"/>
          <w:b/>
          <w:bCs/>
          <w:color w:val="000000"/>
          <w:sz w:val="24"/>
          <w:szCs w:val="24"/>
        </w:rPr>
        <w:t xml:space="preserve">Manuales Técnico, de Instalación y de Usuario</w:t>
      </w:r>
    </w:p>
    <w:p>
      <w:pPr>
        <w:pStyle w:val="Heading2"/>
      </w:pPr>
      <w:r>
        <w:rPr>
          <w:rFonts w:ascii="Times New Roman" w:cs="Times New Roman" w:eastAsia="Times New Roman" w:hAnsi="Times New Roman"/>
          <w:b/>
          <w:bCs/>
          <w:color w:val="000000"/>
          <w:sz w:val="24"/>
          <w:szCs w:val="24"/>
        </w:rPr>
        <w:t xml:space="preserve">Manual Técnico</w:t>
      </w:r>
    </w:p>
    <w:p>
      <w:pPr>
        <w:spacing w:after="0" w:before="0" w:line="480" w:lineRule="auto"/>
        <w:ind w:firstLine="720"/>
        <w:jc w:val="left"/>
      </w:pPr>
      <w:r>
        <w:rPr>
          <w:rFonts w:ascii="Times New Roman" w:cs="Times New Roman" w:eastAsia="Times New Roman" w:hAnsi="Times New Roman"/>
          <w:color w:val="000000"/>
          <w:sz w:val="24"/>
          <w:szCs w:val="24"/>
        </w:rPr>
        <w:t xml:space="preserve">Describe cómo desplegar el sistema, cargar datos de prueba, volver a una versión anterior y respaldar y restaurar la base de datos. La restauración se verifica en una base aislada antes de darla por válida. Ningún dato de prueba se carga al arrancar el sistema.</w:t>
      </w:r>
    </w:p>
    <w:p>
      <w:pPr>
        <w:pStyle w:val="Heading2"/>
      </w:pPr>
      <w:r>
        <w:rPr>
          <w:rFonts w:ascii="Times New Roman" w:cs="Times New Roman" w:eastAsia="Times New Roman" w:hAnsi="Times New Roman"/>
          <w:b/>
          <w:bCs/>
          <w:color w:val="000000"/>
          <w:sz w:val="24"/>
          <w:szCs w:val="24"/>
        </w:rPr>
        <w:t xml:space="preserve">Manual de Instalación</w:t>
      </w:r>
    </w:p>
    <w:p>
      <w:pPr>
        <w:spacing w:after="0" w:before="0" w:line="480" w:lineRule="auto"/>
        <w:ind w:firstLine="720"/>
        <w:jc w:val="left"/>
      </w:pPr>
      <w:r>
        <w:rPr>
          <w:rFonts w:ascii="Times New Roman" w:cs="Times New Roman" w:eastAsia="Times New Roman" w:hAnsi="Times New Roman"/>
          <w:color w:val="000000"/>
          <w:sz w:val="24"/>
          <w:szCs w:val="24"/>
        </w:rPr>
        <w:t xml:space="preserve">Indica los requisitos (Node.js 22.12 o superior y PostgreSQL 16, o Docker), la configuración del servidor y de la aplicación, y los pasos de instalación y verificación. La instalación se probó en una copia limpia del código. Durante esa prueba se identificaron cuatro diferencias menores entre la documentación previa y el código, que se registran en el manual.</w:t>
      </w:r>
    </w:p>
    <w:p>
      <w:pPr>
        <w:pStyle w:val="Heading2"/>
      </w:pPr>
      <w:r>
        <w:rPr>
          <w:rFonts w:ascii="Times New Roman" w:cs="Times New Roman" w:eastAsia="Times New Roman" w:hAnsi="Times New Roman"/>
          <w:b/>
          <w:bCs/>
          <w:color w:val="000000"/>
          <w:sz w:val="24"/>
          <w:szCs w:val="24"/>
        </w:rPr>
        <w:t xml:space="preserve">Manual de Usuario</w:t>
      </w:r>
    </w:p>
    <w:p>
      <w:pPr>
        <w:spacing w:after="0" w:before="0" w:line="480" w:lineRule="auto"/>
        <w:ind w:firstLine="720"/>
        <w:jc w:val="left"/>
      </w:pPr>
      <w:r>
        <w:rPr>
          <w:rFonts w:ascii="Times New Roman" w:cs="Times New Roman" w:eastAsia="Times New Roman" w:hAnsi="Times New Roman"/>
          <w:color w:val="000000"/>
          <w:sz w:val="24"/>
          <w:szCs w:val="24"/>
        </w:rPr>
        <w:t xml:space="preserve">Tiene dos partes. Para el administrador: buscar morosos, crear y asignar órdenes, y consultar las operaciones por conciliar, que solo pueden revisarse y no se resuelven desde la aplicación. Para el técnico: preparar la jornada con conexión, registrar un corte o una visita, entender los estados de cada operación, consultar desde otro teléfono lo ya sincronizado y saber qué hacer ante una falla.</w:t>
      </w:r>
    </w:p>
    <w:p>
      <w:pPr>
        <w:spacing w:after="0" w:before="0" w:line="480" w:lineRule="auto"/>
        <w:ind w:firstLine="720"/>
        <w:jc w:val="left"/>
      </w:pPr>
      <w:r>
        <w:rPr>
          <w:rFonts w:ascii="Times New Roman" w:cs="Times New Roman" w:eastAsia="Times New Roman" w:hAnsi="Times New Roman"/>
          <w:color w:val="000000"/>
          <w:sz w:val="24"/>
          <w:szCs w:val="24"/>
        </w:rPr>
        <w:t xml:space="preserve">La regla principal para el técnico es que, sin autorización en línea vigente, no hay corte. Sin conexión puede registrar una visita, pero no cortar.</w:t>
      </w:r>
    </w:p>
    <w:p>
      <w:pPr>
        <w:pStyle w:val="Heading2"/>
      </w:pPr>
      <w:r>
        <w:rPr>
          <w:rFonts w:ascii="Times New Roman" w:cs="Times New Roman" w:eastAsia="Times New Roman" w:hAnsi="Times New Roman"/>
          <w:b/>
          <w:bCs/>
          <w:color w:val="000000"/>
          <w:sz w:val="24"/>
          <w:szCs w:val="24"/>
        </w:rPr>
        <w:t xml:space="preserve">Manual del Técnico de Campo: Paso a Paso</w:t>
      </w:r>
    </w:p>
    <w:p>
      <w:pPr>
        <w:spacing w:after="0" w:before="0" w:line="480" w:lineRule="auto"/>
        <w:ind w:firstLine="720"/>
        <w:jc w:val="left"/>
      </w:pPr>
      <w:r>
        <w:rPr>
          <w:rFonts w:ascii="Times New Roman" w:cs="Times New Roman" w:eastAsia="Times New Roman" w:hAnsi="Times New Roman"/>
          <w:color w:val="000000"/>
          <w:sz w:val="24"/>
          <w:szCs w:val="24"/>
        </w:rPr>
        <w:t xml:space="preserve">Este apartado describe cómo usa el técnico la aplicación en su teléfono. Las figuras 3 a 5 muestran las pantallas citadas.</w:t>
      </w:r>
    </w:p>
    <w:p>
      <w:pPr>
        <w:keepNext/>
        <w:spacing w:after="0" w:before="0" w:line="480" w:lineRule="auto"/>
      </w:pPr>
      <w:r>
        <w:rPr>
          <w:rFonts w:ascii="Times New Roman" w:cs="Times New Roman" w:eastAsia="Times New Roman" w:hAnsi="Times New Roman"/>
          <w:b/>
          <w:bCs/>
          <w:color w:val="000000"/>
          <w:sz w:val="24"/>
          <w:szCs w:val="24"/>
        </w:rPr>
        <w:t xml:space="preserve">Antes de salir, con conexión a internet:</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Abra SEPSA Campo y pulse Enviar pendientes y actualizar para descargar sus órdenes (Figura 3).</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Revise que la parte superior de la pantalla diga Red disponible.</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No borre los datos del navegador. Ahí están sus órdenes y las operaciones pendientes.</w:t>
      </w:r>
    </w:p>
    <w:p>
      <w:pPr>
        <w:keepNext/>
        <w:spacing w:after="0" w:before="0" w:line="480" w:lineRule="auto"/>
      </w:pPr>
      <w:r>
        <w:rPr>
          <w:rFonts w:ascii="Times New Roman" w:cs="Times New Roman" w:eastAsia="Times New Roman" w:hAnsi="Times New Roman"/>
          <w:b/>
          <w:bCs/>
          <w:color w:val="000000"/>
          <w:sz w:val="24"/>
          <w:szCs w:val="24"/>
        </w:rPr>
        <w:t xml:space="preserve">En campo, para registrar un corte:</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En la pantalla Jornada de campo, pulse Abrir orden. Revise el nombre, la dirección y la deuda.</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Pulse Registrar corte (Figura 4).</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Escriba la lectura final del medidor, en kWh. Debe ser un número no negativo y corresponder al medidor correcto.</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Obtenga la ubicación GPS. Si no se obtiene, escriba el motivo.</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Tome la fotografía en JPEG o PNG. Si no es posible, escriba la justificación obligatoria (Figura 5).</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Espere la autorización en línea. La aplicación solo permite cortar si el servidor la confirma.</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Confirme el corte. La operación queda como Pendiente hasta que el servidor la confirme; después aparece como Sincronizado.</w:t>
      </w:r>
    </w:p>
    <w:p>
      <w:pPr>
        <w:keepNext/>
        <w:spacing w:after="0" w:before="0" w:line="480" w:lineRule="auto"/>
      </w:pPr>
      <w:r>
        <w:rPr>
          <w:rFonts w:ascii="Times New Roman" w:cs="Times New Roman" w:eastAsia="Times New Roman" w:hAnsi="Times New Roman"/>
          <w:b/>
          <w:bCs/>
          <w:color w:val="000000"/>
          <w:sz w:val="24"/>
          <w:szCs w:val="24"/>
        </w:rPr>
        <w:t xml:space="preserve">Si no puede cortar:</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Pulse Registrar visita. Esto registra su presencia y no afirma que hubo corte. Si la autorización fue rechazada o no es clara, no se corta.</w:t>
      </w:r>
    </w:p>
    <w:p>
      <w:pPr>
        <w:keepNext/>
        <w:spacing w:after="0" w:before="0" w:line="480" w:lineRule="auto"/>
      </w:pPr>
      <w:r>
        <w:rPr>
          <w:rFonts w:ascii="Times New Roman" w:cs="Times New Roman" w:eastAsia="Times New Roman" w:hAnsi="Times New Roman"/>
          <w:b/>
          <w:bCs/>
          <w:color w:val="000000"/>
          <w:sz w:val="24"/>
          <w:szCs w:val="24"/>
        </w:rPr>
        <w:t xml:space="preserve">Si una operación queda en revisión:</w:t>
      </w:r>
    </w:p>
    <w:p>
      <w:pPr>
        <w:pStyle w:val="ListParagraph"/>
        <w:numPr>
          <w:ilvl w:val="0"/>
          <w:numId w:val="7"/>
        </w:numPr>
        <w:spacing w:after="0" w:before="0" w:line="480" w:lineRule="auto"/>
      </w:pPr>
      <w:r>
        <w:rPr>
          <w:rFonts w:ascii="Times New Roman" w:cs="Times New Roman" w:eastAsia="Times New Roman" w:hAnsi="Times New Roman"/>
          <w:color w:val="000000"/>
          <w:sz w:val="24"/>
          <w:szCs w:val="24"/>
        </w:rPr>
        <w:t xml:space="preserve">Pulse Verificar con servidor. La aplicación vuelve a consultar la autorización con el mismo identificador.</w:t>
      </w:r>
    </w:p>
    <w:p>
      <w:pPr>
        <w:pStyle w:val="ListParagraph"/>
        <w:numPr>
          <w:ilvl w:val="0"/>
          <w:numId w:val="7"/>
        </w:numPr>
        <w:spacing w:after="0" w:before="0" w:line="480" w:lineRule="auto"/>
      </w:pPr>
      <w:r>
        <w:rPr>
          <w:rFonts w:ascii="Times New Roman" w:cs="Times New Roman" w:eastAsia="Times New Roman" w:hAnsi="Times New Roman"/>
          <w:color w:val="000000"/>
          <w:sz w:val="24"/>
          <w:szCs w:val="24"/>
        </w:rPr>
        <w:t xml:space="preserve">No repita la acción en campo mientras la respuesta no sea concluyente. Si la operación dice Revisión humana · no reenviar, avise al administrador.</w:t>
      </w:r>
    </w:p>
    <w:p>
      <w:pPr>
        <w:keepNext/>
        <w:spacing w:after="0" w:before="0" w:line="480" w:lineRule="auto"/>
      </w:pPr>
      <w:r>
        <w:rPr>
          <w:rFonts w:ascii="Times New Roman" w:cs="Times New Roman" w:eastAsia="Times New Roman" w:hAnsi="Times New Roman"/>
          <w:b/>
          <w:bCs/>
          <w:color w:val="000000"/>
          <w:sz w:val="24"/>
          <w:szCs w:val="24"/>
        </w:rPr>
        <w:t xml:space="preserve">Para consultar lo ya sincronizado desde otro teléfono:</w:t>
      </w:r>
    </w:p>
    <w:p>
      <w:pPr>
        <w:pStyle w:val="ListParagraph"/>
        <w:numPr>
          <w:ilvl w:val="0"/>
          <w:numId w:val="8"/>
        </w:numPr>
        <w:spacing w:after="0" w:before="0" w:line="480" w:lineRule="auto"/>
      </w:pPr>
      <w:r>
        <w:rPr>
          <w:rFonts w:ascii="Times New Roman" w:cs="Times New Roman" w:eastAsia="Times New Roman" w:hAnsi="Times New Roman"/>
          <w:color w:val="000000"/>
          <w:sz w:val="24"/>
          <w:szCs w:val="24"/>
        </w:rPr>
        <w:t xml:space="preserve">Abra la orden y pulse Ver registro del servidor. Verá las visitas, cortes y reconexiones con su estado. Lo que todavía está solo en el teléfono aparece en Pendientes.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0" w:before="0" w:line="240"/>
            </w:pPr>
            <w:r>
              <w:rPr>
                <w:rFonts w:ascii="Times New Roman" w:cs="Times New Roman" w:eastAsia="Times New Roman" w:hAnsi="Times New Roman"/>
                <w:b/>
                <w:bCs/>
                <w:color w:val="000000"/>
                <w:sz w:val="24"/>
                <w:szCs w:val="24"/>
              </w:rPr>
              <w:t xml:space="preserve">Figura 3</w:t>
            </w:r>
          </w:p>
          <w:p>
            <w:pPr>
              <w:keepNext/>
              <w:spacing w:after="160" w:before="0" w:line="240"/>
            </w:pPr>
            <w:r>
              <w:rPr>
                <w:rFonts w:ascii="Times New Roman" w:cs="Times New Roman" w:eastAsia="Times New Roman" w:hAnsi="Times New Roman"/>
                <w:i/>
                <w:iCs/>
                <w:color w:val="000000"/>
                <w:sz w:val="24"/>
                <w:szCs w:val="24"/>
              </w:rPr>
              <w:t xml:space="preserve">Pantalla Jornada de campo</w:t>
            </w:r>
          </w:p>
          <w:p>
            <w:pPr>
              <w:spacing w:after="0" w:before="0" w:line="240"/>
              <w:jc w:val="center"/>
            </w:pPr>
            <w:r>
              <w:drawing>
                <wp:inline distT="0" distB="0" distL="0" distR="0">
                  <wp:extent cx="1714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0" w:before="0" w:line="240"/>
            </w:pPr>
            <w:r>
              <w:rPr>
                <w:rFonts w:ascii="Times New Roman" w:cs="Times New Roman" w:eastAsia="Times New Roman" w:hAnsi="Times New Roman"/>
                <w:b/>
                <w:bCs/>
                <w:color w:val="000000"/>
                <w:sz w:val="24"/>
                <w:szCs w:val="24"/>
              </w:rPr>
              <w:t xml:space="preserve">Figura 4</w:t>
            </w:r>
          </w:p>
          <w:p>
            <w:pPr>
              <w:keepNext/>
              <w:spacing w:after="160" w:before="0" w:line="240"/>
            </w:pPr>
            <w:r>
              <w:rPr>
                <w:rFonts w:ascii="Times New Roman" w:cs="Times New Roman" w:eastAsia="Times New Roman" w:hAnsi="Times New Roman"/>
                <w:i/>
                <w:iCs/>
                <w:color w:val="000000"/>
                <w:sz w:val="24"/>
                <w:szCs w:val="24"/>
              </w:rPr>
              <w:t xml:space="preserve">Detalle de la orden con Registrar corte</w:t>
            </w:r>
          </w:p>
          <w:p>
            <w:pPr>
              <w:spacing w:after="0" w:before="0" w:line="240"/>
              <w:jc w:val="center"/>
            </w:pPr>
            <w:r>
              <w:drawing>
                <wp:inline distT="0" distB="0" distL="0" distR="0">
                  <wp:extent cx="1714500" cy="3714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0" w:before="0" w:line="240"/>
            </w:pPr>
            <w:r>
              <w:rPr>
                <w:rFonts w:ascii="Times New Roman" w:cs="Times New Roman" w:eastAsia="Times New Roman" w:hAnsi="Times New Roman"/>
                <w:b/>
                <w:bCs/>
                <w:color w:val="000000"/>
                <w:sz w:val="24"/>
                <w:szCs w:val="24"/>
              </w:rPr>
              <w:t xml:space="preserve">Figura 5</w:t>
            </w:r>
          </w:p>
          <w:p>
            <w:pPr>
              <w:keepNext/>
              <w:spacing w:after="160" w:before="0" w:line="240"/>
            </w:pPr>
            <w:r>
              <w:rPr>
                <w:rFonts w:ascii="Times New Roman" w:cs="Times New Roman" w:eastAsia="Times New Roman" w:hAnsi="Times New Roman"/>
                <w:i/>
                <w:iCs/>
                <w:color w:val="000000"/>
                <w:sz w:val="24"/>
                <w:szCs w:val="24"/>
              </w:rPr>
              <w:t xml:space="preserve">Excepción de foto con justificación obligatoria</w:t>
            </w:r>
          </w:p>
          <w:p>
            <w:pPr>
              <w:spacing w:after="0" w:before="0" w:line="240"/>
              <w:jc w:val="center"/>
            </w:pPr>
            <w:r>
              <w:drawing>
                <wp:inline distT="0" distB="0" distL="0" distR="0">
                  <wp:extent cx="1714500" cy="1581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1581150"/>
                          </a:xfrm>
                          <a:prstGeom prst="rect">
                            <a:avLst/>
                          </a:prstGeom>
                        </pic:spPr>
                      </pic:pic>
                    </a:graphicData>
                  </a:graphic>
                </wp:inline>
              </w:drawing>
            </w:r>
          </w:p>
        </w:tc>
      </w:tr>
    </w:tbl>
    <w:p>
      <w:pPr>
        <w:pStyle w:val="Heading1"/>
        <w:pageBreakBefore/>
      </w:pPr>
      <w:r>
        <w:rPr>
          <w:rFonts w:ascii="Times New Roman" w:cs="Times New Roman" w:eastAsia="Times New Roman" w:hAnsi="Times New Roman"/>
          <w:b/>
          <w:bCs/>
          <w:color w:val="000000"/>
          <w:sz w:val="24"/>
          <w:szCs w:val="24"/>
        </w:rPr>
        <w:t xml:space="preserve">Plan de Pruebas, Casos de Prueba, Criterios de Aceptación y Resultados</w:t>
      </w:r>
    </w:p>
    <w:p>
      <w:pPr>
        <w:pStyle w:val="Heading2"/>
      </w:pPr>
      <w:r>
        <w:rPr>
          <w:rFonts w:ascii="Times New Roman" w:cs="Times New Roman" w:eastAsia="Times New Roman" w:hAnsi="Times New Roman"/>
          <w:b/>
          <w:bCs/>
          <w:color w:val="000000"/>
          <w:sz w:val="24"/>
          <w:szCs w:val="24"/>
        </w:rPr>
        <w:t xml:space="preserve">Plan de Pruebas</w:t>
      </w:r>
    </w:p>
    <w:p>
      <w:pPr>
        <w:spacing w:after="0" w:before="0" w:line="480" w:lineRule="auto"/>
        <w:ind w:firstLine="720"/>
        <w:jc w:val="left"/>
      </w:pPr>
      <w:r>
        <w:rPr>
          <w:rFonts w:ascii="Times New Roman" w:cs="Times New Roman" w:eastAsia="Times New Roman" w:hAnsi="Times New Roman"/>
          <w:color w:val="000000"/>
          <w:sz w:val="24"/>
          <w:szCs w:val="24"/>
        </w:rPr>
        <w:t xml:space="preserve">Las pruebas se realizan de lo interno a lo externo: reglas del servidor, base de datos, reglas de la aplicación, componentes, navegador y un recorrido completo con servidor, base de datos y aplicación conectados. Cada caso crítico se prueba en su camino correcto y en al menos un escenario de fallo: sin conexión, reinicio, reintento, duplicado, conflicto o autorización incierta. Las pruebas se organizan en suites y se ejecutan de forma automática.</w:t>
      </w:r>
    </w:p>
    <w:p>
      <w:pPr>
        <w:pStyle w:val="Heading2"/>
      </w:pPr>
      <w:r>
        <w:rPr>
          <w:rFonts w:ascii="Times New Roman" w:cs="Times New Roman" w:eastAsia="Times New Roman" w:hAnsi="Times New Roman"/>
          <w:b/>
          <w:bCs/>
          <w:color w:val="000000"/>
          <w:sz w:val="24"/>
          <w:szCs w:val="24"/>
        </w:rPr>
        <w:t xml:space="preserve">Casos de Prueba y Criterios de Aceptación</w:t>
      </w:r>
    </w:p>
    <w:p>
      <w:pPr>
        <w:spacing w:after="0" w:before="0" w:line="480" w:lineRule="auto"/>
        <w:ind w:firstLine="720"/>
        <w:jc w:val="left"/>
      </w:pPr>
      <w:r>
        <w:rPr>
          <w:rFonts w:ascii="Times New Roman" w:cs="Times New Roman" w:eastAsia="Times New Roman" w:hAnsi="Times New Roman"/>
          <w:color w:val="000000"/>
          <w:sz w:val="24"/>
          <w:szCs w:val="24"/>
        </w:rPr>
        <w:t xml:space="preserve">Se proponen 17 criterios de aceptación. Cubren, entre otros, los siguientes puntos: el técnico solo opera sus órdenes; no hay dos órdenes activas para un mismo suministro; no hay corte sin autorización confirmada; una respuesta perdida no se reenvía; el corte solo se acepta con fotografía verificada; la conciliación es de solo lectura; y cada error indica qué quedó guardado. Estos criterios son una propuesta del equipo y están pendientes de aprobación por SEPSA.</w:t>
      </w:r>
    </w:p>
    <w:p>
      <w:pPr>
        <w:keepNext/>
        <w:spacing w:after="0" w:before="0" w:line="240"/>
      </w:pPr>
      <w:r>
        <w:rPr>
          <w:rFonts w:ascii="Times New Roman" w:cs="Times New Roman" w:eastAsia="Times New Roman" w:hAnsi="Times New Roman"/>
          <w:b/>
          <w:bCs/>
          <w:color w:val="000000"/>
          <w:sz w:val="24"/>
          <w:szCs w:val="24"/>
        </w:rPr>
        <w:t xml:space="preserve">Tabla 3</w:t>
      </w:r>
    </w:p>
    <w:p>
      <w:pPr>
        <w:keepNext/>
        <w:spacing w:after="160" w:before="0" w:line="240"/>
      </w:pPr>
      <w:r>
        <w:rPr>
          <w:rFonts w:ascii="Times New Roman" w:cs="Times New Roman" w:eastAsia="Times New Roman" w:hAnsi="Times New Roman"/>
          <w:i/>
          <w:iCs/>
          <w:color w:val="000000"/>
          <w:sz w:val="24"/>
          <w:szCs w:val="24"/>
        </w:rPr>
        <w:t xml:space="preserve">Casos de prueba de los criterios de aceptación propuestos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00"/>
        <w:gridCol w:w="4160"/>
        <w:gridCol w:w="2200"/>
      </w:tblGrid>
      <w:tr>
        <w:trPr>
          <w:tblHeader/>
        </w:trPr>
        <w:tc>
          <w:tcPr>
            <w:tcW w:type="dxa" w:w="30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Caso</w:t>
            </w:r>
          </w:p>
        </w:tc>
        <w:tc>
          <w:tcPr>
            <w:tcW w:type="dxa" w:w="416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Qué se verifica</w:t>
            </w:r>
          </w:p>
        </w:tc>
        <w:tc>
          <w:tcPr>
            <w:tcW w:type="dxa" w:w="22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Resultado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Técnico con órdenes de otro técnico</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Solo ve y opera las órdenes que tiene asignadas</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Segunda orden activa para un mismo suministro</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El sistema la rechaza</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Asignación con una versión anterior de la orden</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 sobrescribe la asignación vigente</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Corte sin autorización confirmada</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 se realiza el corte</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Respuesta perdida al enviar el corte</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Se consulta el resultado con el mismo identificador; no se reenvía</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Corte sin fotografía verificada</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El servidor no lo acepta</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Técnico que intenta conciliar operaciones</w:t>
            </w:r>
          </w:p>
        </w:tc>
        <w:tc>
          <w:tcPr>
            <w:tcW w:type="dxa" w:w="41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El acceso se rechaza</w:t>
            </w:r>
          </w:p>
        </w:tc>
        <w:tc>
          <w:tcPr>
            <w:tcW w:type="dxa" w:w="22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r>
        <w:tc>
          <w:tcPr>
            <w:tcW w:type="dxa" w:w="30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Visita registrada sin conexión</w:t>
            </w:r>
          </w:p>
        </w:tc>
        <w:tc>
          <w:tcPr>
            <w:tcW w:type="dxa" w:w="416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Queda guardada y se envía sola al volver la red</w:t>
            </w:r>
          </w:p>
        </w:tc>
        <w:tc>
          <w:tcPr>
            <w:tcW w:type="dxa" w:w="22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w:t>
            </w:r>
          </w:p>
        </w:tc>
      </w:tr>
    </w:tbl>
    <w:p>
      <w:pPr>
        <w:spacing w:after="0" w:before="0" w:line="240"/>
      </w:pPr>
      <w:r>
        <w:rPr>
          <w:rFonts w:ascii="Times New Roman" w:cs="Times New Roman" w:eastAsia="Times New Roman" w:hAnsi="Times New Roman"/>
          <w:sz w:val="24"/>
          <w:szCs w:val="24"/>
        </w:rPr>
        <w:t xml:space="preserve"/>
      </w:r>
    </w:p>
    <w:p>
      <w:pPr>
        <w:pStyle w:val="Heading2"/>
      </w:pPr>
      <w:r>
        <w:rPr>
          <w:rFonts w:ascii="Times New Roman" w:cs="Times New Roman" w:eastAsia="Times New Roman" w:hAnsi="Times New Roman"/>
          <w:b/>
          <w:bCs/>
          <w:color w:val="000000"/>
          <w:sz w:val="24"/>
          <w:szCs w:val="24"/>
        </w:rPr>
        <w:t xml:space="preserve">Resultados</w:t>
      </w:r>
    </w:p>
    <w:p>
      <w:pPr>
        <w:spacing w:after="0" w:before="0" w:line="480" w:lineRule="auto"/>
        <w:ind w:firstLine="720"/>
        <w:jc w:val="left"/>
      </w:pPr>
      <w:r>
        <w:rPr>
          <w:rFonts w:ascii="Times New Roman" w:cs="Times New Roman" w:eastAsia="Times New Roman" w:hAnsi="Times New Roman"/>
          <w:color w:val="000000"/>
          <w:sz w:val="24"/>
          <w:szCs w:val="24"/>
        </w:rPr>
        <w:t xml:space="preserve">Los resultados de las pruebas automatizadas son los siguientes:</w:t>
      </w:r>
    </w:p>
    <w:p>
      <w:pPr>
        <w:keepNext/>
        <w:spacing w:after="0" w:before="0" w:line="240"/>
      </w:pPr>
      <w:r>
        <w:rPr>
          <w:rFonts w:ascii="Times New Roman" w:cs="Times New Roman" w:eastAsia="Times New Roman" w:hAnsi="Times New Roman"/>
          <w:b/>
          <w:bCs/>
          <w:color w:val="000000"/>
          <w:sz w:val="24"/>
          <w:szCs w:val="24"/>
        </w:rPr>
        <w:t xml:space="preserve">Tabla 4</w:t>
      </w:r>
    </w:p>
    <w:p>
      <w:pPr>
        <w:keepNext/>
        <w:spacing w:after="160" w:before="0" w:line="240"/>
      </w:pPr>
      <w:r>
        <w:rPr>
          <w:rFonts w:ascii="Times New Roman" w:cs="Times New Roman" w:eastAsia="Times New Roman" w:hAnsi="Times New Roman"/>
          <w:i/>
          <w:iCs/>
          <w:color w:val="000000"/>
          <w:sz w:val="24"/>
          <w:szCs w:val="24"/>
        </w:rPr>
        <w:t xml:space="preserve">Resultados de las pruebas automatizadas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00"/>
        <w:gridCol w:w="3560"/>
        <w:gridCol w:w="2700"/>
      </w:tblGrid>
      <w:tr>
        <w:trPr>
          <w:tblHeader/>
        </w:trPr>
        <w:tc>
          <w:tcPr>
            <w:tcW w:type="dxa" w:w="31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Prueba</w:t>
            </w:r>
          </w:p>
        </w:tc>
        <w:tc>
          <w:tcPr>
            <w:tcW w:type="dxa" w:w="356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Qué cubre</w:t>
            </w:r>
          </w:p>
        </w:tc>
        <w:tc>
          <w:tcPr>
            <w:tcW w:type="dxa" w:w="27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Resultado</w:t>
            </w:r>
          </w:p>
        </w:tc>
      </w:tr>
      <w:tr>
        <w:tc>
          <w:tcPr>
            <w:tcW w:type="dxa" w:w="3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Pruebas unitarias del servidor</w:t>
            </w:r>
          </w:p>
        </w:tc>
        <w:tc>
          <w:tcPr>
            <w:tcW w:type="dxa" w:w="3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Reglas de negocio y respuestas del servidor</w:t>
            </w:r>
          </w:p>
        </w:tc>
        <w:tc>
          <w:tcPr>
            <w:tcW w:type="dxa" w:w="27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59 de 59 aprobadas</w:t>
            </w:r>
          </w:p>
        </w:tc>
      </w:tr>
      <w:tr>
        <w:tc>
          <w:tcPr>
            <w:tcW w:type="dxa" w:w="3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Pruebas de integración del servidor</w:t>
            </w:r>
          </w:p>
        </w:tc>
        <w:tc>
          <w:tcPr>
            <w:tcW w:type="dxa" w:w="3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Base de datos y registro del técnico</w:t>
            </w:r>
          </w:p>
        </w:tc>
        <w:tc>
          <w:tcPr>
            <w:tcW w:type="dxa" w:w="27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3 de 3 aprobadas</w:t>
            </w:r>
          </w:p>
        </w:tc>
      </w:tr>
      <w:tr>
        <w:tc>
          <w:tcPr>
            <w:tcW w:type="dxa" w:w="3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Pruebas de la aplicación</w:t>
            </w:r>
          </w:p>
        </w:tc>
        <w:tc>
          <w:tcPr>
            <w:tcW w:type="dxa" w:w="3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Reglas, cola de envío, sincronización, reconexión y pantallas</w:t>
            </w:r>
          </w:p>
        </w:tc>
        <w:tc>
          <w:tcPr>
            <w:tcW w:type="dxa" w:w="27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511 de 511 aprobadas</w:t>
            </w:r>
          </w:p>
        </w:tc>
      </w:tr>
      <w:tr>
        <w:tc>
          <w:tcPr>
            <w:tcW w:type="dxa" w:w="3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Compilación del servidor y de la aplicación</w:t>
            </w:r>
          </w:p>
        </w:tc>
        <w:tc>
          <w:tcPr>
            <w:tcW w:type="dxa" w:w="3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Versiones de producción</w:t>
            </w:r>
          </w:p>
        </w:tc>
        <w:tc>
          <w:tcPr>
            <w:tcW w:type="dxa" w:w="27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Sin errores</w:t>
            </w:r>
          </w:p>
        </w:tc>
      </w:tr>
      <w:tr>
        <w:tc>
          <w:tcPr>
            <w:tcW w:type="dxa" w:w="3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Recorrido completo en navegador</w:t>
            </w:r>
          </w:p>
        </w:tc>
        <w:tc>
          <w:tcPr>
            <w:tcW w:type="dxa" w:w="3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Trabajo sin conexión, corte, reconexión y auditoría</w:t>
            </w:r>
          </w:p>
        </w:tc>
        <w:tc>
          <w:tcPr>
            <w:tcW w:type="dxa" w:w="27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10 de 10 comprobaciones aprobadas (revisión anterior al registro del técnico)</w:t>
            </w:r>
          </w:p>
        </w:tc>
      </w:tr>
      <w:tr>
        <w:tc>
          <w:tcPr>
            <w:tcW w:type="dxa" w:w="31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Verificación de la interfaz</w:t>
            </w:r>
          </w:p>
        </w:tc>
        <w:tc>
          <w:tcPr>
            <w:tcW w:type="dxa" w:w="3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Flujo del administrador y del técnico</w:t>
            </w:r>
          </w:p>
        </w:tc>
        <w:tc>
          <w:tcPr>
            <w:tcW w:type="dxa" w:w="27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17 de 17 comprobaciones aprobadas (revisión anterior)</w:t>
            </w:r>
          </w:p>
        </w:tc>
      </w:tr>
      <w:tr>
        <w:tc>
          <w:tcPr>
            <w:tcW w:type="dxa" w:w="31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Registro del técnico desde otro dispositivo</w:t>
            </w:r>
          </w:p>
        </w:tc>
        <w:tc>
          <w:tcPr>
            <w:tcW w:type="dxa" w:w="356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Consulta del registro y de sus fotografías</w:t>
            </w:r>
          </w:p>
        </w:tc>
        <w:tc>
          <w:tcPr>
            <w:tcW w:type="dxa" w:w="27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Aprobado en integración y en navegador; verificación manual en dos dispositivos físicos y en vista móvil</w:t>
            </w:r>
          </w:p>
        </w:tc>
      </w:tr>
    </w:tbl>
    <w:p>
      <w:pPr>
        <w:spacing w:after="0" w:before="0" w:line="240"/>
      </w:pPr>
      <w:r>
        <w:rPr>
          <w:rFonts w:ascii="Times New Roman" w:cs="Times New Roman" w:eastAsia="Times New Roman" w:hAnsi="Times New Roman"/>
          <w:sz w:val="24"/>
          <w:szCs w:val="24"/>
        </w:rPr>
        <w:t xml:space="preserve"/>
      </w:r>
    </w:p>
    <w:p>
      <w:pPr>
        <w:spacing w:after="0" w:before="0" w:line="480" w:lineRule="auto"/>
        <w:ind w:firstLine="720"/>
        <w:jc w:val="left"/>
      </w:pPr>
      <w:r>
        <w:rPr>
          <w:rFonts w:ascii="Times New Roman" w:cs="Times New Roman" w:eastAsia="Times New Roman" w:hAnsi="Times New Roman"/>
          <w:color w:val="000000"/>
          <w:sz w:val="24"/>
          <w:szCs w:val="24"/>
        </w:rPr>
        <w:t xml:space="preserve">El recorrido automatizado no cubre el registro del técnico ni sus fotografías; esa parte se verificó con pruebas de integración y de forma manual. Las pruebas que necesitan base de datos no pudieron ejecutarse en la primera revisión por falta de una base de prueba; se ejecutaron después en una base aislada.</w:t>
      </w:r>
    </w:p>
    <w:p>
      <w:pPr>
        <w:pStyle w:val="Heading1"/>
        <w:pageBreakBefore/>
      </w:pPr>
      <w:r>
        <w:rPr>
          <w:rFonts w:ascii="Times New Roman" w:cs="Times New Roman" w:eastAsia="Times New Roman" w:hAnsi="Times New Roman"/>
          <w:b/>
          <w:bCs/>
          <w:color w:val="000000"/>
          <w:sz w:val="24"/>
          <w:szCs w:val="24"/>
        </w:rPr>
        <w:t xml:space="preserve">Seguridad, Perfiles de Acceso y Tratamiento de la Información</w:t>
      </w:r>
    </w:p>
    <w:p>
      <w:pPr>
        <w:pStyle w:val="Heading2"/>
      </w:pPr>
      <w:r>
        <w:rPr>
          <w:rFonts w:ascii="Times New Roman" w:cs="Times New Roman" w:eastAsia="Times New Roman" w:hAnsi="Times New Roman"/>
          <w:b/>
          <w:bCs/>
          <w:color w:val="000000"/>
          <w:sz w:val="24"/>
          <w:szCs w:val="24"/>
        </w:rPr>
        <w:t xml:space="preserve">Seguridad</w:t>
      </w:r>
    </w:p>
    <w:p>
      <w:pPr>
        <w:spacing w:after="0" w:before="0" w:line="480" w:lineRule="auto"/>
        <w:ind w:firstLine="720"/>
        <w:jc w:val="left"/>
      </w:pPr>
      <w:r>
        <w:rPr>
          <w:rFonts w:ascii="Times New Roman" w:cs="Times New Roman" w:eastAsia="Times New Roman" w:hAnsi="Times New Roman"/>
          <w:color w:val="000000"/>
          <w:sz w:val="24"/>
          <w:szCs w:val="24"/>
        </w:rPr>
        <w:t xml:space="preserve">El acceso exige usuario y contraseña, que se guardan protegidas con un cifrado irreversible. La sesión dura siete días, puede cerrarse desde el servidor y la contraseña nunca se guarda en el navegador. Hay un límite de cinco intentos de acceso por minuto, por dirección y por usuario. Las escrituras solo se aceptan desde el origen autorizado, y las fotografías se verifican en el servidor. Cada acción importante queda en la auditoría, y los registros del sistema no contienen contraseñas, claves de sesión ni datos personales.</w:t>
      </w:r>
    </w:p>
    <w:p>
      <w:pPr>
        <w:pStyle w:val="Heading2"/>
      </w:pPr>
      <w:r>
        <w:rPr>
          <w:rFonts w:ascii="Times New Roman" w:cs="Times New Roman" w:eastAsia="Times New Roman" w:hAnsi="Times New Roman"/>
          <w:b/>
          <w:bCs/>
          <w:color w:val="000000"/>
          <w:sz w:val="24"/>
          <w:szCs w:val="24"/>
        </w:rPr>
        <w:t xml:space="preserve">Perfiles de Acceso</w:t>
      </w:r>
    </w:p>
    <w:p>
      <w:pPr>
        <w:keepNext/>
        <w:spacing w:after="0" w:before="0" w:line="240"/>
      </w:pPr>
      <w:r>
        <w:rPr>
          <w:rFonts w:ascii="Times New Roman" w:cs="Times New Roman" w:eastAsia="Times New Roman" w:hAnsi="Times New Roman"/>
          <w:b/>
          <w:bCs/>
          <w:color w:val="000000"/>
          <w:sz w:val="24"/>
          <w:szCs w:val="24"/>
        </w:rPr>
        <w:t xml:space="preserve">Tabla 5</w:t>
      </w:r>
    </w:p>
    <w:p>
      <w:pPr>
        <w:keepNext/>
        <w:spacing w:after="160" w:before="0" w:line="240"/>
      </w:pPr>
      <w:r>
        <w:rPr>
          <w:rFonts w:ascii="Times New Roman" w:cs="Times New Roman" w:eastAsia="Times New Roman" w:hAnsi="Times New Roman"/>
          <w:i/>
          <w:iCs/>
          <w:color w:val="000000"/>
          <w:sz w:val="24"/>
          <w:szCs w:val="24"/>
        </w:rPr>
        <w:t xml:space="preserve">Permisos de cada perfil de acceso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560"/>
        <w:gridCol w:w="2400"/>
        <w:gridCol w:w="2400"/>
      </w:tblGrid>
      <w:tr>
        <w:trPr>
          <w:tblHeader/>
        </w:trPr>
        <w:tc>
          <w:tcPr>
            <w:tcW w:type="dxa" w:w="456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Función</w:t>
            </w:r>
          </w:p>
        </w:tc>
        <w:tc>
          <w:tcPr>
            <w:tcW w:type="dxa" w:w="24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Administrador</w:t>
            </w:r>
          </w:p>
        </w:tc>
        <w:tc>
          <w:tcPr>
            <w:tcW w:type="dxa" w:w="24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Técnico</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Buscar morosos y crear órdenes</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Asignar órdenes a técnicos</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Ver órdenes</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 todas</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 solo las asignadas</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Ver técnicos y auditoría</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Conciliar operaciones</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Solo lectura</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Pedir autorizaciones, enviar fotografías y operaciones</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w:t>
            </w:r>
          </w:p>
        </w:tc>
      </w:tr>
      <w:tr>
        <w:tc>
          <w:tcPr>
            <w:tcW w:type="dxa" w:w="45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Hacer acciones en campo (corte y visita)</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c>
          <w:tcPr>
            <w:tcW w:type="dxa" w:w="24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w:t>
            </w:r>
          </w:p>
        </w:tc>
      </w:tr>
      <w:tr>
        <w:tc>
          <w:tcPr>
            <w:tcW w:type="dxa" w:w="456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Consultar el propio registro y fotografías</w:t>
            </w:r>
          </w:p>
        </w:tc>
        <w:tc>
          <w:tcPr>
            <w:tcW w:type="dxa" w:w="24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w:t>
            </w:r>
          </w:p>
        </w:tc>
        <w:tc>
          <w:tcPr>
            <w:tcW w:type="dxa" w:w="24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Sí, solo las suyas</w:t>
            </w:r>
          </w:p>
        </w:tc>
      </w:tr>
    </w:tbl>
    <w:p>
      <w:pPr>
        <w:spacing w:after="0" w:before="0" w:line="240"/>
      </w:pPr>
      <w:r>
        <w:rPr>
          <w:rFonts w:ascii="Times New Roman" w:cs="Times New Roman" w:eastAsia="Times New Roman" w:hAnsi="Times New Roman"/>
          <w:sz w:val="24"/>
          <w:szCs w:val="24"/>
        </w:rPr>
        <w:t xml:space="preserve"/>
      </w:r>
    </w:p>
    <w:p>
      <w:pPr>
        <w:spacing w:after="0" w:before="0" w:line="480" w:lineRule="auto"/>
        <w:ind w:firstLine="720"/>
        <w:jc w:val="left"/>
      </w:pPr>
      <w:r>
        <w:rPr>
          <w:rFonts w:ascii="Times New Roman" w:cs="Times New Roman" w:eastAsia="Times New Roman" w:hAnsi="Times New Roman"/>
          <w:color w:val="000000"/>
          <w:sz w:val="24"/>
          <w:szCs w:val="24"/>
        </w:rPr>
        <w:t xml:space="preserve">Un usuario que tenga ambos roles puede cambiar entre ellos, solo con los roles que le fueron concedidos. Cada cambio queda registrado.</w:t>
      </w:r>
    </w:p>
    <w:p>
      <w:pPr>
        <w:pStyle w:val="Heading2"/>
      </w:pPr>
      <w:r>
        <w:rPr>
          <w:rFonts w:ascii="Times New Roman" w:cs="Times New Roman" w:eastAsia="Times New Roman" w:hAnsi="Times New Roman"/>
          <w:b/>
          <w:bCs/>
          <w:color w:val="000000"/>
          <w:sz w:val="24"/>
          <w:szCs w:val="24"/>
        </w:rPr>
        <w:t xml:space="preserve">Tratamiento de la Información</w:t>
      </w:r>
    </w:p>
    <w:p>
      <w:pPr>
        <w:keepNext/>
        <w:spacing w:after="0" w:before="0" w:line="240"/>
      </w:pPr>
      <w:r>
        <w:rPr>
          <w:rFonts w:ascii="Times New Roman" w:cs="Times New Roman" w:eastAsia="Times New Roman" w:hAnsi="Times New Roman"/>
          <w:b/>
          <w:bCs/>
          <w:color w:val="000000"/>
          <w:sz w:val="24"/>
          <w:szCs w:val="24"/>
        </w:rPr>
        <w:t xml:space="preserve">Tabla 6</w:t>
      </w:r>
    </w:p>
    <w:p>
      <w:pPr>
        <w:keepNext/>
        <w:spacing w:after="160" w:before="0" w:line="240"/>
      </w:pPr>
      <w:r>
        <w:rPr>
          <w:rFonts w:ascii="Times New Roman" w:cs="Times New Roman" w:eastAsia="Times New Roman" w:hAnsi="Times New Roman"/>
          <w:i/>
          <w:iCs/>
          <w:color w:val="000000"/>
          <w:sz w:val="24"/>
          <w:szCs w:val="24"/>
        </w:rPr>
        <w:t xml:space="preserve">Lugares donde se guardan los datos y qué se borra hoy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4000"/>
        <w:gridCol w:w="2760"/>
      </w:tblGrid>
      <w:tr>
        <w:trPr>
          <w:tblHeader/>
        </w:trPr>
        <w:tc>
          <w:tcPr>
            <w:tcW w:type="dxa" w:w="26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Lugar</w:t>
            </w:r>
          </w:p>
        </w:tc>
        <w:tc>
          <w:tcPr>
            <w:tcW w:type="dxa" w:w="400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Qué contiene</w:t>
            </w:r>
          </w:p>
        </w:tc>
        <w:tc>
          <w:tcPr>
            <w:tcW w:type="dxa" w:w="2760"/>
            <w:tcBorders>
              <w:top w:val="single" w:color="000000" w:sz="6"/>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bCs/>
                <w:color w:val="000000"/>
                <w:sz w:val="20"/>
                <w:szCs w:val="20"/>
              </w:rPr>
              <w:t xml:space="preserve">Qué se borra hoy</w:t>
            </w:r>
          </w:p>
        </w:tc>
      </w:tr>
      <w:tr>
        <w:tc>
          <w:tcPr>
            <w:tcW w:type="dxa" w:w="26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Base de datos del servidor</w:t>
            </w:r>
          </w:p>
        </w:tc>
        <w:tc>
          <w:tcPr>
            <w:tcW w:type="dxa" w:w="4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Usuarios, morosos, órdenes, autorizaciones, fotografías y auditoría</w:t>
            </w:r>
          </w:p>
        </w:tc>
        <w:tc>
          <w:tcPr>
            <w:tcW w:type="dxa" w:w="27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Nada. El servidor no tiene instrucciones de borrado</w:t>
            </w:r>
          </w:p>
        </w:tc>
      </w:tr>
      <w:tr>
        <w:tc>
          <w:tcPr>
            <w:tcW w:type="dxa" w:w="26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Dispositivo del técnico</w:t>
            </w:r>
          </w:p>
        </w:tc>
        <w:tc>
          <w:tcPr>
            <w:tcW w:type="dxa" w:w="4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Órdenes, registros, fotografías y cola de envío</w:t>
            </w:r>
          </w:p>
        </w:tc>
        <w:tc>
          <w:tcPr>
            <w:tcW w:type="dxa" w:w="27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Solo las órdenes sustituidas por un paquete más nuevo, y los borradores de visita</w:t>
            </w:r>
          </w:p>
        </w:tc>
      </w:tr>
      <w:tr>
        <w:tc>
          <w:tcPr>
            <w:tcW w:type="dxa" w:w="26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Navegador</w:t>
            </w:r>
          </w:p>
        </w:tc>
        <w:tc>
          <w:tcPr>
            <w:tcW w:type="dxa" w:w="4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Identidad de la sesión y usuario recordado, sin contraseña ni token</w:t>
            </w:r>
          </w:p>
        </w:tc>
        <w:tc>
          <w:tcPr>
            <w:tcW w:type="dxa" w:w="27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La identidad de la sesión, al cerrar sesión</w:t>
            </w:r>
          </w:p>
        </w:tc>
      </w:tr>
      <w:tr>
        <w:tc>
          <w:tcPr>
            <w:tcW w:type="dxa" w:w="26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Mapa del dispositivo</w:t>
            </w:r>
          </w:p>
        </w:tc>
        <w:tc>
          <w:tcPr>
            <w:tcW w:type="dxa" w:w="400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Imágenes de la zona donde están las órdenes</w:t>
            </w:r>
          </w:p>
        </w:tc>
        <w:tc>
          <w:tcPr>
            <w:tcW w:type="dxa" w:w="2760"/>
            <w:tcBorders>
              <w:top w:val="none" w:color="FFFFFF" w:sz="0"/>
              <w:left w:val="none" w:color="FFFFFF" w:sz="0"/>
              <w:bottom w:val="none" w:color="FFFFFF" w:sz="0"/>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No se borra al cerrar sesión</w:t>
            </w:r>
          </w:p>
        </w:tc>
      </w:tr>
      <w:tr>
        <w:tc>
          <w:tcPr>
            <w:tcW w:type="dxa" w:w="26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Registros del servidor</w:t>
            </w:r>
          </w:p>
        </w:tc>
        <w:tc>
          <w:tcPr>
            <w:tcW w:type="dxa" w:w="400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Eventos e identificadores de petición</w:t>
            </w:r>
          </w:p>
        </w:tc>
        <w:tc>
          <w:tcPr>
            <w:tcW w:type="dxa" w:w="2760"/>
            <w:tcBorders>
              <w:top w:val="none" w:color="FFFFFF" w:sz="0"/>
              <w:left w:val="none" w:color="FFFFFF" w:sz="0"/>
              <w:bottom w:val="single" w:color="000000" w:sz="6"/>
              <w:right w:val="none" w:color="FFFFFF" w:sz="0"/>
            </w:tcBorders>
          </w:tcPr>
          <w:p>
            <w:pPr>
              <w:spacing w:after="40" w:before="40" w:line="240"/>
            </w:pPr>
            <w:r>
              <w:rPr>
                <w:rFonts w:ascii="Times New Roman" w:cs="Times New Roman" w:eastAsia="Times New Roman" w:hAnsi="Times New Roman"/>
                <w:b w:val="false"/>
                <w:bCs w:val="false"/>
                <w:color w:val="000000"/>
                <w:sz w:val="20"/>
                <w:szCs w:val="20"/>
              </w:rPr>
              <w:t xml:space="preserve">Según el proveedor de hosting</w:t>
            </w:r>
          </w:p>
        </w:tc>
      </w:tr>
    </w:tbl>
    <w:p>
      <w:pPr>
        <w:spacing w:after="0" w:before="0" w:line="240"/>
      </w:pPr>
      <w:r>
        <w:rPr>
          <w:rFonts w:ascii="Times New Roman" w:cs="Times New Roman" w:eastAsia="Times New Roman" w:hAnsi="Times New Roman"/>
          <w:sz w:val="24"/>
          <w:szCs w:val="24"/>
        </w:rPr>
        <w:t xml:space="preserve"/>
      </w:r>
    </w:p>
    <w:p>
      <w:pPr>
        <w:spacing w:after="0" w:before="0" w:line="480" w:lineRule="auto"/>
        <w:ind w:firstLine="720"/>
        <w:jc w:val="left"/>
      </w:pPr>
      <w:r>
        <w:rPr>
          <w:rFonts w:ascii="Times New Roman" w:cs="Times New Roman" w:eastAsia="Times New Roman" w:hAnsi="Times New Roman"/>
          <w:color w:val="000000"/>
          <w:sz w:val="24"/>
          <w:szCs w:val="24"/>
        </w:rPr>
        <w:t xml:space="preserve">La información incluye datos personales: nombre, dirección, documento de identidad, teléfono, número de medidor y deuda. Las fotografías pueden mostrar personas o domicilios, y cada captura de corte guarda la ubicación GPS del técnico.</w:t>
      </w:r>
    </w:p>
    <w:p>
      <w:pPr>
        <w:spacing w:after="0" w:before="0" w:line="480" w:lineRule="auto"/>
        <w:ind w:firstLine="720"/>
        <w:jc w:val="left"/>
      </w:pPr>
      <w:r>
        <w:rPr>
          <w:rFonts w:ascii="Times New Roman" w:cs="Times New Roman" w:eastAsia="Times New Roman" w:hAnsi="Times New Roman"/>
          <w:color w:val="000000"/>
          <w:sz w:val="24"/>
          <w:szCs w:val="24"/>
        </w:rPr>
        <w:t xml:space="preserve">El mapa muestra imágenes de un servicio externo, que recibe el área visible del mapa. No envía datos de la sesión.</w:t>
      </w:r>
    </w:p>
    <w:p>
      <w:pPr>
        <w:spacing w:after="0" w:before="0" w:line="480" w:lineRule="auto"/>
        <w:ind w:firstLine="720"/>
        <w:jc w:val="left"/>
      </w:pPr>
      <w:r>
        <w:rPr>
          <w:rFonts w:ascii="Times New Roman" w:cs="Times New Roman" w:eastAsia="Times New Roman" w:hAnsi="Times New Roman"/>
          <w:color w:val="000000"/>
          <w:sz w:val="24"/>
          <w:szCs w:val="24"/>
        </w:rPr>
        <w:t xml:space="preserve">Al cerrar sesión, el servidor revoca la sesión y la aplicación borra la identidad guardada, pero no borra los datos de trabajo. Si se pierde un equipo, el sistema no puede borrar sus datos locales ni cerrar su sesión desde el servidor.</w:t>
      </w:r>
    </w:p>
    <w:p>
      <w:pPr>
        <w:spacing w:after="0" w:before="0" w:line="480" w:lineRule="auto"/>
        <w:ind w:firstLine="720"/>
        <w:jc w:val="left"/>
      </w:pPr>
      <w:r>
        <w:rPr>
          <w:rFonts w:ascii="Times New Roman" w:cs="Times New Roman" w:eastAsia="Times New Roman" w:hAnsi="Times New Roman"/>
          <w:color w:val="000000"/>
          <w:sz w:val="24"/>
          <w:szCs w:val="24"/>
        </w:rPr>
        <w:t xml:space="preserve">Los datos de prueba son ficticios. Los datos personales que existían en cargas de prueba anteriores fueron retirados del código fuente.</w:t>
      </w:r>
    </w:p>
    <w:p>
      <w:pPr>
        <w:pStyle w:val="Heading1"/>
        <w:pageBreakBefore/>
      </w:pPr>
      <w:r>
        <w:rPr>
          <w:rFonts w:ascii="Times New Roman" w:cs="Times New Roman" w:eastAsia="Times New Roman" w:hAnsi="Times New Roman"/>
          <w:b/>
          <w:bCs/>
          <w:color w:val="000000"/>
          <w:sz w:val="24"/>
          <w:szCs w:val="24"/>
        </w:rPr>
        <w:t xml:space="preserve">Pendientes de SEPSA</w:t>
      </w:r>
    </w:p>
    <w:p>
      <w:pPr>
        <w:spacing w:after="0" w:before="0" w:line="480" w:lineRule="auto"/>
        <w:ind w:firstLine="720"/>
        <w:jc w:val="left"/>
      </w:pPr>
      <w:r>
        <w:rPr>
          <w:rFonts w:ascii="Times New Roman" w:cs="Times New Roman" w:eastAsia="Times New Roman" w:hAnsi="Times New Roman"/>
          <w:color w:val="000000"/>
          <w:sz w:val="24"/>
          <w:szCs w:val="24"/>
        </w:rPr>
        <w:t xml:space="preserve">Los siguientes puntos corresponden a SEPSA definir o están fuera del alcance del piloto: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Integración oficial: la interfaz de conexión con los sistemas de SEPSA y sus permisos definitivos.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Infraestructura de producción: proveedor, topología, certificados de seguridad y rotación de claves.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Copias de seguridad: frecuencia, cifrado y retención.</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Datos personales: responsable del tratamiento, custodia, retención y, si corresponde, purga de copias anteriores de datos de prueba.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Registro SC08: destino del archivo o de la interfaz. Los campos que el piloto no genera están fuera de alcance y son responsabilidad de SEPSA.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Reconexión: elegibilidad, cargos y prioridad, que decide SEPSA.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Anulación de órdenes: no está incluida en el piloto.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Revisión de operaciones inciertas: existe en el servidor, pero falta la pantalla correspondiente.</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Sesiones y seguridad: revocación por dispositivo y límite de intentos compartido entre varios servidores.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Monitoreo: proveedor de métricas y alertas.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Criterios de aceptación: aprobación por SEPSA.</w:t>
      </w:r>
    </w:p>
    <w:sectPr>
      <w:head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bullet"/>
      <w:lvlText w:val="•"/>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9"/>
    <w:lvlOverride w:ilvl="0">
      <w:startOverride w:val="1"/>
    </w:lvlOverride>
  </w:num>
  <w:num w:numId="3">
    <w:abstractNumId w:val="8"/>
    <w:lvlOverride w:ilvl="0">
      <w:startOverride w:val="1"/>
    </w:lvlOverride>
  </w:num>
  <w:num w:numId="4">
    <w:abstractNumId w:val="2"/>
    <w:lvlOverride w:ilvl="0">
      <w:startOverride w:val="1"/>
    </w:lvlOverride>
  </w:num>
  <w:num w:numId="5">
    <w:abstractNumId w:val="3"/>
    <w:lvlOverride w:ilvl="0">
      <w:startOverride w:val="1"/>
    </w:lvlOverride>
  </w:num>
  <w:num w:numId="6">
    <w:abstractNumId w:val="4"/>
    <w:lvlOverride w:ilvl="0">
      <w:startOverride w:val="1"/>
    </w:lvlOverride>
  </w:num>
  <w:num w:numId="7">
    <w:abstractNumId w:val="5"/>
    <w:lvlOverride w:ilvl="0">
      <w:startOverride w:val="1"/>
    </w:lvlOverride>
  </w:num>
  <w:num w:numId="8">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lineRule="auto"/>
      <w:jc w:val="left"/>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e06b0c271872f7a5d6a1e0ff5dfb802b5b5d7297.png"/><Relationship Id="rId11" Type="http://schemas.openxmlformats.org/officeDocument/2006/relationships/image" Target="media/6adb71f8e0ea8ca0135294818bd56eec2fb6ba55.png"/><Relationship Id="rId12" Type="http://schemas.openxmlformats.org/officeDocument/2006/relationships/image" Target="media/409bef9396f3219ba10b0dea7774ef5c1bdbd616.png"/><Relationship Id="rId13" Type="http://schemas.openxmlformats.org/officeDocument/2006/relationships/image" Target="media/5f5e3240faf9b48f3c434eddbaae3f38cf54b1d8.png"/><Relationship Id="rId14" Type="http://schemas.openxmlformats.org/officeDocument/2006/relationships/image" Target="media/19beb3fdd2335929f8cccfba61af33f84c25cae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 carta de SEPSA</dc:title>
  <dc:creator>Entrega SEPSA</dc:creator>
  <cp:lastModifiedBy>Un-named</cp:lastModifiedBy>
  <cp:revision>1</cp:revision>
  <dcterms:created xsi:type="dcterms:W3CDTF">2026-10-16T00:14:25.872Z</dcterms:created>
  <dcterms:modified xsi:type="dcterms:W3CDTF">2026-10-16T00:14:25.873Z</dcterms:modified>
</cp:coreProperties>
</file>

<file path=docProps/custom.xml><?xml version="1.0" encoding="utf-8"?>
<Properties xmlns="http://schemas.openxmlformats.org/officeDocument/2006/custom-properties" xmlns:vt="http://schemas.openxmlformats.org/officeDocument/2006/docPropsVTypes"/>
</file>