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color w:val="000000"/>
          <w:sz w:val="24"/>
          <w:szCs w:val="24"/>
        </w:rPr>
        <w:t xml:space="preserve">Respuesta a la carta de SEPSA</w:t>
      </w:r>
    </w:p>
    <w:p>
      <w:pPr>
        <w:spacing w:after="0" w:before="0" w:line="480" w:lineRule="auto"/>
        <w:jc w:val="center"/>
      </w:pPr>
      <w:r>
        <w:rPr>
          <w:rFonts w:ascii="Times New Roman" w:cs="Times New Roman" w:eastAsia="Times New Roman" w:hAnsi="Times New Roman"/>
          <w:color w:val="000000"/>
          <w:sz w:val="24"/>
          <w:szCs w:val="24"/>
        </w:rPr>
        <w:t xml:space="preserve">Piloto provisional del sistema de cortes y reconexiones</w:t>
      </w:r>
    </w:p>
    <w:p>
      <w:pPr>
        <w:pStyle w:val="Heading1"/>
      </w:pPr>
      <w:r>
        <w:rPr>
          <w:rFonts w:ascii="Times New Roman" w:cs="Times New Roman" w:eastAsia="Times New Roman" w:hAnsi="Times New Roman"/>
          <w:b/>
          <w:bCs/>
          <w:color w:val="000000"/>
          <w:sz w:val="24"/>
          <w:szCs w:val="24"/>
        </w:rPr>
        <w:t xml:space="preserve">Requerimientos Funcionales y Técnicos, y Procesos de Cortes y Reconexiones</w:t>
      </w:r>
    </w:p>
    <w:p>
      <w:pPr>
        <w:pStyle w:val="Heading2"/>
      </w:pPr>
      <w:r>
        <w:rPr>
          <w:rFonts w:ascii="Times New Roman" w:cs="Times New Roman" w:eastAsia="Times New Roman" w:hAnsi="Times New Roman"/>
          <w:b/>
          <w:bCs/>
          <w:color w:val="000000"/>
          <w:sz w:val="24"/>
          <w:szCs w:val="24"/>
        </w:rPr>
        <w:t xml:space="preserve">Requisitos Funcionales</w:t>
      </w:r>
    </w:p>
    <w:p>
      <w:pPr>
        <w:spacing w:after="0" w:before="0" w:line="480" w:lineRule="auto"/>
        <w:ind w:firstLine="720"/>
        <w:jc w:val="left"/>
      </w:pPr>
      <w:r>
        <w:rPr>
          <w:rFonts w:ascii="Times New Roman" w:cs="Times New Roman" w:eastAsia="Times New Roman" w:hAnsi="Times New Roman"/>
          <w:color w:val="000000"/>
          <w:sz w:val="24"/>
          <w:szCs w:val="24"/>
        </w:rPr>
        <w:t xml:space="preserve">El administrador busca a los clientes con deuda, aplicando filtros, y crea órdenes de corte de forma individual o en lote, asignándolas a un técnico. No puede existir más de una orden activa para el mismo suministro. Cada acción queda registrada en la auditoría con el responsable, la fecha y el resultado. Solo el administrador puede consultar la auditoría.</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ve únicamente las órdenes que le fueron asignadas. Puede trabajar sin conexión, y lo que registra queda guardado en su dispositivo hasta que el servidor lo confirma. Los mensajes de error indican qué quedó guardado y cuál es el siguiente paso.</w:t>
      </w:r>
    </w:p>
    <w:p>
      <w:pPr>
        <w:pStyle w:val="Heading2"/>
      </w:pPr>
      <w:r>
        <w:rPr>
          <w:rFonts w:ascii="Times New Roman" w:cs="Times New Roman" w:eastAsia="Times New Roman" w:hAnsi="Times New Roman"/>
          <w:b/>
          <w:bCs/>
          <w:color w:val="000000"/>
          <w:sz w:val="24"/>
          <w:szCs w:val="24"/>
        </w:rPr>
        <w:t xml:space="preserve">Requisitos Técnicos</w:t>
      </w:r>
    </w:p>
    <w:p>
      <w:pPr>
        <w:spacing w:after="0" w:before="0" w:line="480" w:lineRule="auto"/>
        <w:ind w:firstLine="720"/>
        <w:jc w:val="left"/>
      </w:pPr>
      <w:r>
        <w:rPr>
          <w:rFonts w:ascii="Times New Roman" w:cs="Times New Roman" w:eastAsia="Times New Roman" w:hAnsi="Times New Roman"/>
          <w:color w:val="000000"/>
          <w:sz w:val="24"/>
          <w:szCs w:val="24"/>
        </w:rPr>
        <w:t xml:space="preserve">La aplicación funciona en el navegador de computadoras y teléfonos, y puede instalarse en el teléfono del técnico. El servidor valida cada permiso y cada operación, y la base de datos guarda la información de forma permanente. Las fotografías se conservan y el sistema no las borra. Los montos se registran en unidades exactas, sin errores de redondeo.</w:t>
      </w:r>
    </w:p>
    <w:p>
      <w:pPr>
        <w:pStyle w:val="Heading2"/>
      </w:pPr>
      <w:r>
        <w:rPr>
          <w:rFonts w:ascii="Times New Roman" w:cs="Times New Roman" w:eastAsia="Times New Roman" w:hAnsi="Times New Roman"/>
          <w:b/>
          <w:bCs/>
          <w:color w:val="000000"/>
          <w:sz w:val="24"/>
          <w:szCs w:val="24"/>
        </w:rPr>
        <w:t xml:space="preserve">Proceso de Corte</w:t>
      </w:r>
    </w:p>
    <w:p>
      <w:pPr>
        <w:spacing w:after="0" w:before="0" w:line="480" w:lineRule="auto"/>
        <w:ind w:firstLine="720"/>
        <w:jc w:val="left"/>
      </w:pPr>
      <w:r>
        <w:rPr>
          <w:rFonts w:ascii="Times New Roman" w:cs="Times New Roman" w:eastAsia="Times New Roman" w:hAnsi="Times New Roman"/>
          <w:color w:val="000000"/>
          <w:sz w:val="24"/>
          <w:szCs w:val="24"/>
        </w:rPr>
        <w:t xml:space="preserve">El corte se realiza en los siguientes pasos:</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administrador busca el suministro, crea la orden y asigna el técnico.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técnico descarga sus órdenes, incluso sin conexión, y las revisa en campo.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En el lugar, el técnico registra la lectura final del medidor, la ubicación GPS y una fotografía. Si no puede obtener la ubicación o la foto, registra una excepción con el motivo por escrito. La lectura final es obligatoria.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Antes de cortar, la aplicación solicita al servidor una autorización en línea. Solo es válida si está vigente, es de un solo uso y corresponde a esa orden, a ese técnico y a ese dispositivo.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Sin autorización confirmada no se corta. Si el servidor la rechaza, la visita queda bloqueada. Si la respuesta no es clara, el resultado queda pendiente de revisión y tampoco se corta.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Confirmado el corte, el técnico envía la fotografía y el registro. El servidor acepta el corte solo cuando la fotografía llegó y corresponde a la operación.</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 la comunicación se pierde después del envío, el sistema consulta el resultado con el mismo identificador y no repite el envío original.</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también puede registrar una visita sin afirmar que hubo corte.</w:t>
      </w:r>
    </w:p>
    <w:p>
      <w:pPr>
        <w:pStyle w:val="Heading2"/>
      </w:pPr>
      <w:r>
        <w:rPr>
          <w:rFonts w:ascii="Times New Roman" w:cs="Times New Roman" w:eastAsia="Times New Roman" w:hAnsi="Times New Roman"/>
          <w:b/>
          <w:bCs/>
          <w:color w:val="000000"/>
          <w:sz w:val="24"/>
          <w:szCs w:val="24"/>
        </w:rPr>
        <w:t xml:space="preserve">Proceso de Reconexión</w:t>
      </w:r>
    </w:p>
    <w:p>
      <w:pPr>
        <w:spacing w:after="0" w:before="0" w:line="480" w:lineRule="auto"/>
        <w:ind w:firstLine="720"/>
        <w:jc w:val="left"/>
      </w:pPr>
      <w:r>
        <w:rPr>
          <w:rFonts w:ascii="Times New Roman" w:cs="Times New Roman" w:eastAsia="Times New Roman" w:hAnsi="Times New Roman"/>
          <w:color w:val="000000"/>
          <w:sz w:val="24"/>
          <w:szCs w:val="24"/>
        </w:rPr>
        <w:t xml:space="preserve">La reconexión solo puede registrarse sobre un corte confirmado. Antes de confirmarla, el sistema solicita una habilitación en línea de un solo uso, vinculada a la orden, al técnico y al dispositivo. Cuando el servidor la confirma, la orden pasa al estado de reconexión. Si la confirmación no llega, el técnico la verifica con el servidor sin repetir la acción en campo. Si la habilitación no se utilizó, puede solicitarse una nueva.</w:t>
      </w:r>
    </w:p>
    <w:p>
      <w:pPr>
        <w:spacing w:after="0" w:before="0" w:line="480" w:lineRule="auto"/>
        <w:ind w:firstLine="720"/>
        <w:jc w:val="left"/>
      </w:pPr>
      <w:r>
        <w:rPr>
          <w:rFonts w:ascii="Times New Roman" w:cs="Times New Roman" w:eastAsia="Times New Roman" w:hAnsi="Times New Roman"/>
          <w:color w:val="000000"/>
          <w:sz w:val="24"/>
          <w:szCs w:val="24"/>
        </w:rPr>
        <w:t xml:space="preserve">Las órdenes avanzan en este orden: generada, ejecutada y reconectada.</w:t>
      </w:r>
    </w:p>
    <w:p>
      <w:pPr>
        <w:pStyle w:val="Heading1"/>
        <w:pageBreakBefore/>
      </w:pPr>
      <w:r>
        <w:rPr>
          <w:rFonts w:ascii="Times New Roman" w:cs="Times New Roman" w:eastAsia="Times New Roman" w:hAnsi="Times New Roman"/>
          <w:b/>
          <w:bCs/>
          <w:color w:val="000000"/>
          <w:sz w:val="24"/>
          <w:szCs w:val="24"/>
        </w:rPr>
        <w:t xml:space="preserve">Arquitectura de la Solución, Tecnologías, Modelo de Datos, Diccionario de Datos y Documentación del Código Fuente</w:t>
      </w:r>
    </w:p>
    <w:p>
      <w:pPr>
        <w:pStyle w:val="Heading2"/>
      </w:pPr>
      <w:r>
        <w:rPr>
          <w:rFonts w:ascii="Times New Roman" w:cs="Times New Roman" w:eastAsia="Times New Roman" w:hAnsi="Times New Roman"/>
          <w:b/>
          <w:bCs/>
          <w:color w:val="000000"/>
          <w:sz w:val="24"/>
          <w:szCs w:val="24"/>
        </w:rPr>
        <w:t xml:space="preserve">Arquitectura</w:t>
      </w:r>
    </w:p>
    <w:p>
      <w:pPr>
        <w:spacing w:after="0" w:before="0" w:line="480" w:lineRule="auto"/>
        <w:ind w:firstLine="720"/>
        <w:jc w:val="left"/>
      </w:pPr>
      <w:r>
        <w:rPr>
          <w:rFonts w:ascii="Times New Roman" w:cs="Times New Roman" w:eastAsia="Times New Roman" w:hAnsi="Times New Roman"/>
          <w:color w:val="000000"/>
          <w:sz w:val="24"/>
          <w:szCs w:val="24"/>
        </w:rPr>
        <w:t xml:space="preserve">La solución tiene tres partes: la aplicación del técnico y del administrador, que funciona en el navegador y guarda datos en el dispositivo; un servidor que valida cada permiso y cada operación; y una base de datos PostgreSQL, que es la fuente oficial de la información del piloto. El servidor es provisional: no es la interfaz oficial de SEPSA y deberá adaptarse a la que SEPSA defina.</w:t>
      </w:r>
    </w:p>
    <w:p>
      <w:pPr>
        <w:pStyle w:val="Heading2"/>
      </w:pPr>
      <w:r>
        <w:rPr>
          <w:rFonts w:ascii="Times New Roman" w:cs="Times New Roman" w:eastAsia="Times New Roman" w:hAnsi="Times New Roman"/>
          <w:b/>
          <w:bCs/>
          <w:color w:val="000000"/>
          <w:sz w:val="24"/>
          <w:szCs w:val="24"/>
        </w:rPr>
        <w:t xml:space="preserve">Tecnologías Utilizadas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Aplicación: React, TypeScript y Vite, como aplicación web instalable.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Almacenamiento en el dispositivo: IndexedDB.</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Servidor: Node.js 22.12 o superior, con TypeScript.</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Base de datos: PostgreSQL 16.</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Pruebas: Vitest y node:test.</w:t>
      </w:r>
    </w:p>
    <w:p>
      <w:pPr>
        <w:pStyle w:val="Heading2"/>
      </w:pPr>
      <w:r>
        <w:rPr>
          <w:rFonts w:ascii="Times New Roman" w:cs="Times New Roman" w:eastAsia="Times New Roman" w:hAnsi="Times New Roman"/>
          <w:b/>
          <w:bCs/>
          <w:color w:val="000000"/>
          <w:sz w:val="24"/>
          <w:szCs w:val="24"/>
        </w:rPr>
        <w:t xml:space="preserve">Modelo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La base de datos tiene 13 tablas que agrupan la información en siete bloques: usuarios y sesiones; morosos y suministros; órdenes y asignaciones; autorizaciones de corte y reconexión; operaciones enviadas desde los dispositivos; fotografías de evidencia; y auditoría. La base impide duplicar órdenes activas y reutilizar autorizaciones, y la auditoría solo admite registros nuevos.</w:t>
      </w:r>
    </w:p>
    <w:p>
      <w:pPr>
        <w:pStyle w:val="Heading2"/>
      </w:pPr>
      <w:r>
        <w:rPr>
          <w:rFonts w:ascii="Times New Roman" w:cs="Times New Roman" w:eastAsia="Times New Roman" w:hAnsi="Times New Roman"/>
          <w:b/>
          <w:bCs/>
          <w:color w:val="000000"/>
          <w:sz w:val="24"/>
          <w:szCs w:val="24"/>
        </w:rPr>
        <w:t xml:space="preserve">Diccionario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El diccionario de datos describe cada tabla y cada campo, con su nombre en español, su nombre técnico, sus valores permitidos y sus estados. Cubre las 13 tablas y 147 campos, y forma parte de la documentación técnica entregada.</w:t>
      </w:r>
    </w:p>
    <w:p>
      <w:pPr>
        <w:pStyle w:val="Heading2"/>
      </w:pPr>
      <w:r>
        <w:rPr>
          <w:rFonts w:ascii="Times New Roman" w:cs="Times New Roman" w:eastAsia="Times New Roman" w:hAnsi="Times New Roman"/>
          <w:b/>
          <w:bCs/>
          <w:color w:val="000000"/>
          <w:sz w:val="24"/>
          <w:szCs w:val="24"/>
        </w:rPr>
        <w:t xml:space="preserve">Documentación del Código Fuente</w:t>
      </w:r>
    </w:p>
    <w:p>
      <w:pPr>
        <w:spacing w:after="0" w:before="0" w:line="480" w:lineRule="auto"/>
        <w:ind w:firstLine="720"/>
        <w:jc w:val="left"/>
      </w:pPr>
      <w:r>
        <w:rPr>
          <w:rFonts w:ascii="Times New Roman" w:cs="Times New Roman" w:eastAsia="Times New Roman" w:hAnsi="Times New Roman"/>
          <w:color w:val="000000"/>
          <w:sz w:val="24"/>
          <w:szCs w:val="24"/>
        </w:rPr>
        <w:t xml:space="preserve">El código se organiza en carpetas separadas para la aplicación, el servidor, las migraciones de la base de datos y la descripción de las rutas del servidor. En el servidor, la atención de solicitudes, las reglas de negocio y el acceso a la base están separados, de modo que las reglas no dependen de la pantalla. El servidor tiene 24 rutas, y su descripción coincide con el código.</w:t>
      </w:r>
    </w:p>
    <w:p>
      <w:pPr>
        <w:pStyle w:val="Heading1"/>
        <w:pageBreakBefore/>
      </w:pPr>
      <w:r>
        <w:rPr>
          <w:rFonts w:ascii="Times New Roman" w:cs="Times New Roman" w:eastAsia="Times New Roman" w:hAnsi="Times New Roman"/>
          <w:b/>
          <w:bCs/>
          <w:color w:val="000000"/>
          <w:sz w:val="24"/>
          <w:szCs w:val="24"/>
        </w:rPr>
        <w:t xml:space="preserve">Manuales Técnico, de Instalación y de Usuario</w:t>
      </w:r>
    </w:p>
    <w:p>
      <w:pPr>
        <w:pStyle w:val="Heading2"/>
      </w:pPr>
      <w:r>
        <w:rPr>
          <w:rFonts w:ascii="Times New Roman" w:cs="Times New Roman" w:eastAsia="Times New Roman" w:hAnsi="Times New Roman"/>
          <w:b/>
          <w:bCs/>
          <w:color w:val="000000"/>
          <w:sz w:val="24"/>
          <w:szCs w:val="24"/>
        </w:rPr>
        <w:t xml:space="preserve">Manual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Describe cómo desplegar el sistema, cargar datos de prueba, volver a una versión anterior y respaldar y restaurar la base de datos. La restauración se verifica en una base aislada antes de darla por válida. Ningún dato de prueba se carga al arrancar el sistema.</w:t>
      </w:r>
    </w:p>
    <w:p>
      <w:pPr>
        <w:pStyle w:val="Heading2"/>
      </w:pPr>
      <w:r>
        <w:rPr>
          <w:rFonts w:ascii="Times New Roman" w:cs="Times New Roman" w:eastAsia="Times New Roman" w:hAnsi="Times New Roman"/>
          <w:b/>
          <w:bCs/>
          <w:color w:val="000000"/>
          <w:sz w:val="24"/>
          <w:szCs w:val="24"/>
        </w:rPr>
        <w:t xml:space="preserve">Manual de Instalación</w:t>
      </w:r>
    </w:p>
    <w:p>
      <w:pPr>
        <w:spacing w:after="0" w:before="0" w:line="480" w:lineRule="auto"/>
        <w:ind w:firstLine="720"/>
        <w:jc w:val="left"/>
      </w:pPr>
      <w:r>
        <w:rPr>
          <w:rFonts w:ascii="Times New Roman" w:cs="Times New Roman" w:eastAsia="Times New Roman" w:hAnsi="Times New Roman"/>
          <w:color w:val="000000"/>
          <w:sz w:val="24"/>
          <w:szCs w:val="24"/>
        </w:rPr>
        <w:t xml:space="preserve">Indica los requisitos (Node.js 22.12 o superior y PostgreSQL 16, o Docker), la configuración del servidor y de la aplicación, y los pasos de instalación y verificación. La instalación se probó en una copia limpia del código. Durante esa prueba se identificaron cuatro diferencias menores entre la documentación previa y el código, que se registran en el manual.</w:t>
      </w:r>
    </w:p>
    <w:p>
      <w:pPr>
        <w:pStyle w:val="Heading2"/>
      </w:pPr>
      <w:r>
        <w:rPr>
          <w:rFonts w:ascii="Times New Roman" w:cs="Times New Roman" w:eastAsia="Times New Roman" w:hAnsi="Times New Roman"/>
          <w:b/>
          <w:bCs/>
          <w:color w:val="000000"/>
          <w:sz w:val="24"/>
          <w:szCs w:val="24"/>
        </w:rPr>
        <w:t xml:space="preserve">Manual de Usuario</w:t>
      </w:r>
    </w:p>
    <w:p>
      <w:pPr>
        <w:spacing w:after="0" w:before="0" w:line="480" w:lineRule="auto"/>
        <w:ind w:firstLine="720"/>
        <w:jc w:val="left"/>
      </w:pPr>
      <w:r>
        <w:rPr>
          <w:rFonts w:ascii="Times New Roman" w:cs="Times New Roman" w:eastAsia="Times New Roman" w:hAnsi="Times New Roman"/>
          <w:color w:val="000000"/>
          <w:sz w:val="24"/>
          <w:szCs w:val="24"/>
        </w:rPr>
        <w:t xml:space="preserve">Tiene dos partes. Para el administrador: buscar morosos, crear y asignar órdenes, y consultar las operaciones por conciliar, que solo pueden revisarse y no se resuelven desde la aplicación. Para el técnico: preparar la jornada con conexión, registrar un corte o una visita, entender los estados de cada operación, consultar desde otro teléfono lo ya sincronizado y saber qué hacer ante una falla.</w:t>
      </w:r>
    </w:p>
    <w:p>
      <w:pPr>
        <w:spacing w:after="0" w:before="0" w:line="480" w:lineRule="auto"/>
        <w:ind w:firstLine="720"/>
        <w:jc w:val="left"/>
      </w:pPr>
      <w:r>
        <w:rPr>
          <w:rFonts w:ascii="Times New Roman" w:cs="Times New Roman" w:eastAsia="Times New Roman" w:hAnsi="Times New Roman"/>
          <w:color w:val="000000"/>
          <w:sz w:val="24"/>
          <w:szCs w:val="24"/>
        </w:rPr>
        <w:t xml:space="preserve">La regla principal para el técnico es que, sin autorización en línea vigente, no hay corte. Sin conexión puede registrar una visita, pero no cortar.</w:t>
      </w:r>
    </w:p>
    <w:p>
      <w:pPr>
        <w:pStyle w:val="Heading1"/>
        <w:pageBreakBefore/>
      </w:pPr>
      <w:r>
        <w:rPr>
          <w:rFonts w:ascii="Times New Roman" w:cs="Times New Roman" w:eastAsia="Times New Roman" w:hAnsi="Times New Roman"/>
          <w:b/>
          <w:bCs/>
          <w:color w:val="000000"/>
          <w:sz w:val="24"/>
          <w:szCs w:val="24"/>
        </w:rPr>
        <w:t xml:space="preserve">Plan de Pruebas, Casos de Prueba, Criterios de Aceptación y Resultados</w:t>
      </w:r>
    </w:p>
    <w:p>
      <w:pPr>
        <w:pStyle w:val="Heading2"/>
      </w:pPr>
      <w:r>
        <w:rPr>
          <w:rFonts w:ascii="Times New Roman" w:cs="Times New Roman" w:eastAsia="Times New Roman" w:hAnsi="Times New Roman"/>
          <w:b/>
          <w:bCs/>
          <w:color w:val="000000"/>
          <w:sz w:val="24"/>
          <w:szCs w:val="24"/>
        </w:rPr>
        <w:t xml:space="preserve">Plan de Pruebas</w:t>
      </w:r>
    </w:p>
    <w:p>
      <w:pPr>
        <w:spacing w:after="0" w:before="0" w:line="480" w:lineRule="auto"/>
        <w:ind w:firstLine="720"/>
        <w:jc w:val="left"/>
      </w:pPr>
      <w:r>
        <w:rPr>
          <w:rFonts w:ascii="Times New Roman" w:cs="Times New Roman" w:eastAsia="Times New Roman" w:hAnsi="Times New Roman"/>
          <w:color w:val="000000"/>
          <w:sz w:val="24"/>
          <w:szCs w:val="24"/>
        </w:rPr>
        <w:t xml:space="preserve">Las pruebas se realizan de lo interno a lo externo: reglas del servidor, base de datos, reglas de la aplicación, componentes, navegador y un recorrido completo con servidor, base de datos y aplicación conectados. Cada caso crítico se prueba en su camino correcto y en al menos un escenario de fallo: sin conexión, reinicio, reintento, duplicado, conflicto o autorización incierta. Las pruebas se organizan en suites y se ejecutan de forma automática.</w:t>
      </w:r>
    </w:p>
    <w:p>
      <w:pPr>
        <w:pStyle w:val="Heading2"/>
      </w:pPr>
      <w:r>
        <w:rPr>
          <w:rFonts w:ascii="Times New Roman" w:cs="Times New Roman" w:eastAsia="Times New Roman" w:hAnsi="Times New Roman"/>
          <w:b/>
          <w:bCs/>
          <w:color w:val="000000"/>
          <w:sz w:val="24"/>
          <w:szCs w:val="24"/>
        </w:rPr>
        <w:t xml:space="preserve">Casos de Prueba y Criterios de Aceptación</w:t>
      </w:r>
    </w:p>
    <w:p>
      <w:pPr>
        <w:spacing w:after="0" w:before="0" w:line="480" w:lineRule="auto"/>
        <w:ind w:firstLine="720"/>
        <w:jc w:val="left"/>
      </w:pPr>
      <w:r>
        <w:rPr>
          <w:rFonts w:ascii="Times New Roman" w:cs="Times New Roman" w:eastAsia="Times New Roman" w:hAnsi="Times New Roman"/>
          <w:color w:val="000000"/>
          <w:sz w:val="24"/>
          <w:szCs w:val="24"/>
        </w:rPr>
        <w:t xml:space="preserve">Se proponen 17 criterios de aceptación. Cubren, entre otros, los siguientes puntos: el técnico solo opera sus órdenes; no hay dos órdenes activas para un mismo suministro; no hay corte sin autorización confirmada; una respuesta perdida no se reenvía; el corte solo se acepta con fotografía verificada; la conciliación es de solo lectura; y cada error indica qué quedó guardado. Estos criterios son una propuesta del equipo y están pendientes de aprobación por SEPSA.</w:t>
      </w:r>
    </w:p>
    <w:p>
      <w:pPr>
        <w:pStyle w:val="Heading2"/>
      </w:pPr>
      <w:r>
        <w:rPr>
          <w:rFonts w:ascii="Times New Roman" w:cs="Times New Roman" w:eastAsia="Times New Roman" w:hAnsi="Times New Roman"/>
          <w:b/>
          <w:bCs/>
          <w:color w:val="000000"/>
          <w:sz w:val="24"/>
          <w:szCs w:val="24"/>
        </w:rPr>
        <w:t xml:space="preserve">Resultados</w:t>
      </w:r>
    </w:p>
    <w:p>
      <w:pPr>
        <w:spacing w:after="0" w:before="0" w:line="480" w:lineRule="auto"/>
        <w:ind w:firstLine="720"/>
        <w:jc w:val="left"/>
      </w:pPr>
      <w:r>
        <w:rPr>
          <w:rFonts w:ascii="Times New Roman" w:cs="Times New Roman" w:eastAsia="Times New Roman" w:hAnsi="Times New Roman"/>
          <w:color w:val="000000"/>
          <w:sz w:val="24"/>
          <w:szCs w:val="24"/>
        </w:rPr>
        <w:t xml:space="preserve">Con la última revisión, los resultados son los siguientes: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Servidor: compilación correcta; 59 pruebas unitarias aprobadas y 3 pruebas de integración con base de datos aprobadas.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Aplicación del técnico y del administrador: 511 pruebas aprobadas y compilación de producción correcta. En una revisión anterior, la interfaz superó 17 de 17 comprobaciones.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Recorrido completo en navegador, con una base de datos de prueba aislada: 10 comprobaciones aprobadas, que incluyen el trabajo sin conexión, la sincronización, el corte con fotografía y GPS, y la reconexión.</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Registro del técnico desde otro dispositivo: aprobado en pruebas de integración y en una prueba de navegador con un equipo nuevo. La verificación en dos dispositivos físicos y en vista móvil se hizo a mano por el responsable del proyecto.</w:t>
      </w:r>
    </w:p>
    <w:p>
      <w:pPr>
        <w:spacing w:after="0" w:before="0" w:line="480" w:lineRule="auto"/>
        <w:ind w:firstLine="720"/>
        <w:jc w:val="left"/>
      </w:pPr>
      <w:r>
        <w:rPr>
          <w:rFonts w:ascii="Times New Roman" w:cs="Times New Roman" w:eastAsia="Times New Roman" w:hAnsi="Times New Roman"/>
          <w:color w:val="000000"/>
          <w:sz w:val="24"/>
          <w:szCs w:val="24"/>
        </w:rPr>
        <w:t xml:space="preserve">El recorrido automatizado no cubre el registro del técnico ni sus fotografías; esa parte se verificó con pruebas de integración y de forma manual. Las pruebas que necesitan base de datos no pudieron ejecutarse en la primera revisión por falta de una base de prueba; se ejecutaron después en una base aislada.</w:t>
      </w:r>
    </w:p>
    <w:p>
      <w:pPr>
        <w:pStyle w:val="Heading1"/>
        <w:pageBreakBefore/>
      </w:pPr>
      <w:r>
        <w:rPr>
          <w:rFonts w:ascii="Times New Roman" w:cs="Times New Roman" w:eastAsia="Times New Roman" w:hAnsi="Times New Roman"/>
          <w:b/>
          <w:bCs/>
          <w:color w:val="000000"/>
          <w:sz w:val="24"/>
          <w:szCs w:val="24"/>
        </w:rPr>
        <w:t xml:space="preserve">Seguridad, Perfiles de Acceso y Tratamiento de la Información</w:t>
      </w:r>
    </w:p>
    <w:p>
      <w:pPr>
        <w:pStyle w:val="Heading2"/>
      </w:pPr>
      <w:r>
        <w:rPr>
          <w:rFonts w:ascii="Times New Roman" w:cs="Times New Roman" w:eastAsia="Times New Roman" w:hAnsi="Times New Roman"/>
          <w:b/>
          <w:bCs/>
          <w:color w:val="000000"/>
          <w:sz w:val="24"/>
          <w:szCs w:val="24"/>
        </w:rPr>
        <w:t xml:space="preserve">Seguridad</w:t>
      </w:r>
    </w:p>
    <w:p>
      <w:pPr>
        <w:spacing w:after="0" w:before="0" w:line="480" w:lineRule="auto"/>
        <w:ind w:firstLine="720"/>
        <w:jc w:val="left"/>
      </w:pPr>
      <w:r>
        <w:rPr>
          <w:rFonts w:ascii="Times New Roman" w:cs="Times New Roman" w:eastAsia="Times New Roman" w:hAnsi="Times New Roman"/>
          <w:color w:val="000000"/>
          <w:sz w:val="24"/>
          <w:szCs w:val="24"/>
        </w:rPr>
        <w:t xml:space="preserve">El acceso exige usuario y contraseña, que se guardan protegidas con un cifrado irreversible. La sesión dura siete días, puede cerrarse desde el servidor y la contraseña nunca se guarda en el navegador. Hay un límite de cinco intentos de acceso por minuto, por dirección y por usuario. Las escrituras solo se aceptan desde el origen autorizado, y las fotografías se verifican en el servidor. Cada acción importante queda en la auditoría, y los registros del sistema no contienen contraseñas, claves de sesión ni datos personales.</w:t>
      </w:r>
    </w:p>
    <w:p>
      <w:pPr>
        <w:pStyle w:val="Heading2"/>
      </w:pPr>
      <w:r>
        <w:rPr>
          <w:rFonts w:ascii="Times New Roman" w:cs="Times New Roman" w:eastAsia="Times New Roman" w:hAnsi="Times New Roman"/>
          <w:b/>
          <w:bCs/>
          <w:color w:val="000000"/>
          <w:sz w:val="24"/>
          <w:szCs w:val="24"/>
        </w:rPr>
        <w:t xml:space="preserve">Perfiles de Acceso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Administrador: crea y asigna órdenes, consulta morosos, técnicos y auditoría, y revisa las operaciones por conciliar en modo de solo lectura. No realiza acciones en campo.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Técnico: ve y opera solo sus órdenes asignadas, solicita autorizaciones, envía fotografías y operaciones, y consulta solo su propio registro y sus fotografías.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Un usuario que tenga ambos roles puede cambiar entre ellos, solo con los roles que le fueron concedidos. Cada cambio queda registrado.</w:t>
      </w:r>
    </w:p>
    <w:p>
      <w:pPr>
        <w:pStyle w:val="Heading2"/>
      </w:pPr>
      <w:r>
        <w:rPr>
          <w:rFonts w:ascii="Times New Roman" w:cs="Times New Roman" w:eastAsia="Times New Roman" w:hAnsi="Times New Roman"/>
          <w:b/>
          <w:bCs/>
          <w:color w:val="000000"/>
          <w:sz w:val="24"/>
          <w:szCs w:val="24"/>
        </w:rPr>
        <w:t xml:space="preserve">Tratamiento de la Información</w:t>
      </w:r>
    </w:p>
    <w:p>
      <w:pPr>
        <w:spacing w:after="0" w:before="0" w:line="480" w:lineRule="auto"/>
        <w:ind w:firstLine="720"/>
        <w:jc w:val="left"/>
      </w:pPr>
      <w:r>
        <w:rPr>
          <w:rFonts w:ascii="Times New Roman" w:cs="Times New Roman" w:eastAsia="Times New Roman" w:hAnsi="Times New Roman"/>
          <w:color w:val="000000"/>
          <w:sz w:val="24"/>
          <w:szCs w:val="24"/>
        </w:rPr>
        <w:t xml:space="preserve">Los datos se guardan en dos lugares. En la base de datos del servidor están los usuarios, los morosos, las órdenes, las autorizaciones, las fotografías y la auditoría. En el dispositivo del técnico están sus órdenes, sus registros, las fotografías y la cola de envío.</w:t>
      </w:r>
    </w:p>
    <w:p>
      <w:pPr>
        <w:spacing w:after="0" w:before="0" w:line="480" w:lineRule="auto"/>
        <w:ind w:firstLine="720"/>
        <w:jc w:val="left"/>
      </w:pPr>
      <w:r>
        <w:rPr>
          <w:rFonts w:ascii="Times New Roman" w:cs="Times New Roman" w:eastAsia="Times New Roman" w:hAnsi="Times New Roman"/>
          <w:color w:val="000000"/>
          <w:sz w:val="24"/>
          <w:szCs w:val="24"/>
        </w:rPr>
        <w:t xml:space="preserve">La información incluye datos personales: nombre, dirección, documento de identidad, teléfono, número de medidor y deuda. Las fotografías pueden mostrar personas o domicilios, y cada captura de corte guarda la ubicación GPS del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El mapa muestra imágenes de un servicio externo, que recibe el área visible del mapa. No envía datos de la sesión.</w:t>
      </w:r>
    </w:p>
    <w:p>
      <w:pPr>
        <w:spacing w:after="0" w:before="0" w:line="480" w:lineRule="auto"/>
        <w:ind w:firstLine="720"/>
        <w:jc w:val="left"/>
      </w:pPr>
      <w:r>
        <w:rPr>
          <w:rFonts w:ascii="Times New Roman" w:cs="Times New Roman" w:eastAsia="Times New Roman" w:hAnsi="Times New Roman"/>
          <w:color w:val="000000"/>
          <w:sz w:val="24"/>
          <w:szCs w:val="24"/>
        </w:rPr>
        <w:t xml:space="preserve">El sistema no borra información: las fotografías, las sesiones, los morosos y la auditoría se conservan. Al cerrar sesión, el servidor revoca la sesión y la aplicación borra la identidad guardada, pero no borra los datos de trabajo. Si se pierde un equipo, el sistema no puede borrar sus datos locales ni cerrar su sesión desde el servidor.</w:t>
      </w:r>
    </w:p>
    <w:p>
      <w:pPr>
        <w:spacing w:after="0" w:before="0" w:line="480" w:lineRule="auto"/>
        <w:ind w:firstLine="720"/>
        <w:jc w:val="left"/>
      </w:pPr>
      <w:r>
        <w:rPr>
          <w:rFonts w:ascii="Times New Roman" w:cs="Times New Roman" w:eastAsia="Times New Roman" w:hAnsi="Times New Roman"/>
          <w:color w:val="000000"/>
          <w:sz w:val="24"/>
          <w:szCs w:val="24"/>
        </w:rPr>
        <w:t xml:space="preserve">Los datos de prueba son ficticios. Los datos personales que existían en cargas de prueba anteriores fueron retirados del código fuente.</w:t>
      </w:r>
    </w:p>
    <w:p>
      <w:pPr>
        <w:pStyle w:val="Heading1"/>
        <w:pageBreakBefore/>
      </w:pPr>
      <w:r>
        <w:rPr>
          <w:rFonts w:ascii="Times New Roman" w:cs="Times New Roman" w:eastAsia="Times New Roman" w:hAnsi="Times New Roman"/>
          <w:b/>
          <w:bCs/>
          <w:color w:val="000000"/>
          <w:sz w:val="24"/>
          <w:szCs w:val="24"/>
        </w:rPr>
        <w:t xml:space="preserve">Pendientes de SEPSA</w:t>
      </w:r>
    </w:p>
    <w:p>
      <w:pPr>
        <w:spacing w:after="0" w:before="0" w:line="480" w:lineRule="auto"/>
        <w:ind w:firstLine="720"/>
        <w:jc w:val="left"/>
      </w:pPr>
      <w:r>
        <w:rPr>
          <w:rFonts w:ascii="Times New Roman" w:cs="Times New Roman" w:eastAsia="Times New Roman" w:hAnsi="Times New Roman"/>
          <w:color w:val="000000"/>
          <w:sz w:val="24"/>
          <w:szCs w:val="24"/>
        </w:rPr>
        <w:t xml:space="preserve">Los siguientes puntos corresponden a SEPSA definir o están fuera del alcance del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Integración oficial: la interfaz de conexión con los sistemas de SEPSA y sus permisos definitivos.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Infraestructura de producción: proveedor, topología, certificados de seguridad y rotación de claves.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Copias de seguridad: frecuencia, cifrado y retención.</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Datos personales: responsable del tratamiento, custodia, retención y, si corresponde, purga de copias anteriores de datos de prueba.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Registro SC08: destino del archivo o de la interfaz. Los campos que el piloto no genera están fuera de alcance y son responsabilidad 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Reconexión: elegibilidad, cargos y prioridad, que decide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Anulación de órdenes: no está incluida en 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Revisión de operaciones inciertas: existe en el servidor, pero falta la pantalla correspondiente.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Sesiones y seguridad: revocación por dispositivo y límite de intentos compartido entre varios servidores.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Monitoreo: proveedor de métricas y alertas.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Criterios de aceptación: aprobación por SEPSA.</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lineRule="auto"/>
      <w:jc w:val="left"/>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 carta de SEPSA</dc:title>
  <dc:creator>Entrega SEPSA</dc:creator>
  <cp:lastModifiedBy>Un-named</cp:lastModifiedBy>
  <cp:revision>1</cp:revision>
  <dcterms:created xsi:type="dcterms:W3CDTF">2026-10-15T21:40:11.875Z</dcterms:created>
  <dcterms:modified xsi:type="dcterms:W3CDTF">2026-10-15T21:40:11.877Z</dcterms:modified>
</cp:coreProperties>
</file>

<file path=docProps/custom.xml><?xml version="1.0" encoding="utf-8"?>
<Properties xmlns="http://schemas.openxmlformats.org/officeDocument/2006/custom-properties" xmlns:vt="http://schemas.openxmlformats.org/officeDocument/2006/docPropsVTypes"/>
</file>