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ind w:hanging="0" w:left="0" w:right="0"/>
        <w:jc w:val="left"/>
        <w:rPr>
          <w:sz w:val="20"/>
          <w:szCs w:val="20"/>
        </w:rPr>
      </w:pPr>
      <w:r>
        <w:rPr>
          <w:color w:val="000000"/>
          <w:sz w:val="20"/>
          <w:szCs w:val="20"/>
          <w:shd w:fill="auto" w:val="clear"/>
        </w:rPr>
        <w:t>UNIVERSIDADE DO VALE DO ITAJAÍ – UNIVALI</w:t>
      </w:r>
    </w:p>
    <w:p>
      <w:pPr>
        <w:pStyle w:val="Normal"/>
        <w:widowControl/>
        <w:ind w:hanging="0" w:left="0" w:right="0"/>
        <w:jc w:val="left"/>
        <w:rPr>
          <w:color w:val="auto"/>
          <w:sz w:val="20"/>
          <w:szCs w:val="20"/>
          <w:shd w:fill="auto" w:val="clear"/>
        </w:rPr>
      </w:pPr>
      <w:r>
        <w:rPr>
          <w:color w:val="000000"/>
          <w:sz w:val="20"/>
          <w:szCs w:val="20"/>
          <w:shd w:fill="auto" w:val="clear"/>
        </w:rPr>
        <w:t>Programa de Pós-graduação em Computação Aplicada – PPGCA</w:t>
      </w:r>
    </w:p>
    <w:p>
      <w:pPr>
        <w:pStyle w:val="Normal"/>
        <w:widowControl/>
        <w:ind w:hanging="0" w:left="0" w:right="0"/>
        <w:jc w:val="left"/>
        <w:rPr>
          <w:color w:val="auto"/>
          <w:sz w:val="20"/>
          <w:szCs w:val="20"/>
          <w:shd w:fill="auto" w:val="clear"/>
        </w:rPr>
      </w:pPr>
      <w:r>
        <w:rPr>
          <w:color w:val="000000"/>
          <w:sz w:val="20"/>
          <w:szCs w:val="20"/>
          <w:shd w:fill="auto" w:val="clear"/>
        </w:rPr>
        <w:t>Disciplina de Análise de Algoritmos – semestre 2026/1</w:t>
      </w:r>
    </w:p>
    <w:p>
      <w:pPr>
        <w:pStyle w:val="Normal"/>
        <w:widowControl/>
        <w:ind w:hanging="0" w:left="0" w:right="0"/>
        <w:jc w:val="left"/>
        <w:rPr>
          <w:color w:val="auto"/>
          <w:sz w:val="20"/>
          <w:szCs w:val="20"/>
          <w:shd w:fill="auto" w:val="clear"/>
        </w:rPr>
      </w:pPr>
      <w:r>
        <w:rPr>
          <w:color w:val="000000"/>
          <w:sz w:val="20"/>
          <w:szCs w:val="20"/>
          <w:shd w:fill="auto" w:val="clear"/>
        </w:rPr>
        <w:t>Professor Dr. Rudimar Luís Scaranto Dazzi.</w:t>
      </w:r>
    </w:p>
    <w:p>
      <w:pPr>
        <w:pStyle w:val="Normal"/>
        <w:widowControl/>
        <w:ind w:hanging="0" w:left="0" w:right="0"/>
        <w:jc w:val="left"/>
        <w:rPr>
          <w:sz w:val="20"/>
          <w:szCs w:val="20"/>
        </w:rPr>
      </w:pPr>
      <w:r>
        <w:rPr>
          <w:color w:val="000000"/>
          <w:sz w:val="20"/>
          <w:szCs w:val="20"/>
          <w:shd w:fill="auto" w:val="clear"/>
        </w:rPr>
        <w:t>Acadêmicos: Katia Lorenz, Letícia Zorzi Rama e Ricardo Arruda Júnior.</w:t>
      </w:r>
    </w:p>
    <w:p>
      <w:pPr>
        <w:pStyle w:val="Normal"/>
        <w:widowControl/>
        <w:ind w:hanging="0" w:left="0" w:right="0"/>
        <w:jc w:val="left"/>
        <w:rPr>
          <w:color w:val="auto"/>
          <w:sz w:val="32"/>
          <w:szCs w:val="32"/>
          <w:shd w:fill="auto" w:val="clear"/>
        </w:rPr>
      </w:pPr>
      <w:r>
        <w:rPr>
          <w:color w:val="000000"/>
          <w:sz w:val="32"/>
          <w:szCs w:val="32"/>
          <w:shd w:fill="auto" w:val="clear"/>
        </w:rPr>
      </w:r>
    </w:p>
    <w:p>
      <w:pPr>
        <w:pStyle w:val="Normal"/>
        <w:jc w:val="center"/>
        <w:rPr/>
      </w:pPr>
      <w:r>
        <w:rPr>
          <w:b/>
          <w:bCs/>
        </w:rPr>
        <w:t>Relatório Acadêmico:</w:t>
      </w:r>
    </w:p>
    <w:p>
      <w:pPr>
        <w:pStyle w:val="Normal"/>
        <w:jc w:val="center"/>
        <w:rPr/>
      </w:pPr>
      <w:r>
        <w:rPr>
          <w:b/>
          <w:bCs/>
        </w:rPr>
        <w:t>Análise de complexidade de algoritmos de Força bruta e Aproximativo na solução do Problema do Caixeiro Viajante (PCV)</w:t>
      </w:r>
    </w:p>
    <w:p>
      <w:pPr>
        <w:pStyle w:val="Normal"/>
        <w:jc w:val="both"/>
        <w:rPr>
          <w:b/>
          <w:bCs/>
        </w:rPr>
      </w:pPr>
      <w:r>
        <w:rPr>
          <w:b/>
          <w:bCs/>
        </w:rPr>
      </w:r>
    </w:p>
    <w:p>
      <w:pPr>
        <w:pStyle w:val="Normal"/>
        <w:jc w:val="both"/>
        <w:rPr>
          <w:b/>
          <w:bCs/>
        </w:rPr>
      </w:pPr>
      <w:r>
        <w:rPr>
          <w:b/>
          <w:bCs/>
        </w:rPr>
        <w:t>Contextualização</w:t>
      </w:r>
    </w:p>
    <w:p>
      <w:pPr>
        <w:pStyle w:val="Normal"/>
        <w:jc w:val="both"/>
        <w:rPr/>
      </w:pPr>
      <w:r>
        <w:rPr/>
        <w:t xml:space="preserve">Atividade avaliativa da disciplina de Análise de Algoritmos do Mestrado em Computação Aplicada da Universidade do Vale do Itajaí (UNIVALI), período letivo 2026/01. </w:t>
      </w:r>
    </w:p>
    <w:p>
      <w:pPr>
        <w:pStyle w:val="Normal"/>
        <w:jc w:val="both"/>
        <w:rPr/>
      </w:pPr>
      <w:r>
        <w:rPr/>
        <w:t xml:space="preserve">O presente relatório aborda o Problema do Caixeiro Viajante (PCV), um problema classificado como NP-Difícil, cujo objetivo principal é encontrar o caminho ótimo ou factível que visite um conjunto finito de cidades exatamente uma vez e retorne à origem. </w:t>
      </w:r>
    </w:p>
    <w:p>
      <w:pPr>
        <w:pStyle w:val="Normal"/>
        <w:jc w:val="both"/>
        <w:rPr/>
      </w:pPr>
      <w:r>
        <w:rPr/>
        <w:t xml:space="preserve">Para isso, soluções com diferentes algoritmos são exploradas na literatura, dentre elas métodos com força bruta e métodos heurísticos. </w:t>
      </w:r>
    </w:p>
    <w:p>
      <w:pPr>
        <w:pStyle w:val="Normal"/>
        <w:jc w:val="both"/>
        <w:rPr>
          <w:b/>
          <w:bCs/>
        </w:rPr>
      </w:pPr>
      <w:r>
        <w:rPr>
          <w:b/>
          <w:bCs/>
        </w:rPr>
        <w:t>Introdução</w:t>
      </w:r>
    </w:p>
    <w:p>
      <w:pPr>
        <w:pStyle w:val="Normal"/>
        <w:jc w:val="both"/>
        <w:rPr/>
      </w:pPr>
      <w:r>
        <w:rPr/>
        <w:t xml:space="preserve">O algoritmo de força bruta é considerado o método mais simples para resolver o PCV. O método de força bruta consiste em percorrer todos os percursos possíveis um por um, calcular o comprimento total de cada percurso e encontrar o percurso mínimo desses valores de comprimento usando comparações, ou seja, o percurso ótimo (NAHER, 2011). Entretanto, o custo desse método envolve um aumento extremamente rápido com o aumento do número de cidades. O custo do algoritmo de força bruta fica evidente quando se verifica que existem (n − 1)! = 1 · 2 · 3 · 4 ·····(n − 1) maneiras diferentes de visitar n cidades em um percurso. Cada percurso começa em uma cidade (por exemplo, a cidade A), depois visita todas as n−1 cidades restantes em ordem arbitrária e, finalmente, retorna à primeira cidade. No entanto, existem exatamente (n − 1)! ordenações ou permutações possíveis das n − 1 cidades restantes (NAHER, 2011). </w:t>
      </w:r>
    </w:p>
    <w:p>
      <w:pPr>
        <w:pStyle w:val="Normal"/>
        <w:jc w:val="both"/>
        <w:rPr/>
      </w:pPr>
      <w:r>
        <w:rPr/>
        <w:t xml:space="preserve">O algoritmo de força bruta proporciona uma solução ótima para problemas similares ao Problema do Caixeiro Viajante. Porém, a viabilidade de sua implementação se restringe à </w:t>
      </w:r>
      <w:r>
        <w:rPr>
          <w:i w:val="false"/>
          <w:iCs w:val="false"/>
        </w:rPr>
        <w:t>problemas com poucos n, caso contrário, torna-se inviável. Sendo assim, outros métodos não ótimos, mas factíveis, ganham destaque para a solução do Problema do Caixeiro Viajante, dentre eles os algoritmos heurísticos.</w:t>
      </w:r>
    </w:p>
    <w:p>
      <w:pPr>
        <w:pStyle w:val="Normal"/>
        <w:jc w:val="both"/>
        <w:rPr/>
      </w:pPr>
      <w:r>
        <w:rPr/>
        <w:t xml:space="preserve">Algoritmos heurísticos envolvem métodos como o vértice adjacente mais próximo, a inserção com o menor encargo, a inserção com maior afastamento e métodos aproximativos que envolvem árvores geradoras mínimas e algoritmos de busca em profundidade. </w:t>
      </w:r>
    </w:p>
    <w:p>
      <w:pPr>
        <w:pStyle w:val="Normal"/>
        <w:jc w:val="both"/>
        <w:rPr>
          <w:color w:val="C9211E"/>
        </w:rPr>
      </w:pPr>
      <w:r>
        <w:rPr>
          <w:color w:val="C9211E"/>
        </w:rPr>
        <w:t>(inserir parágrafo sobre algoritmos heurísticos antes de entrar na árvore geradora mínima e no busca em profundidade)</w:t>
      </w:r>
    </w:p>
    <w:p>
      <w:pPr>
        <w:pStyle w:val="Normal"/>
        <w:jc w:val="both"/>
        <w:rPr/>
      </w:pPr>
      <w:r>
        <w:rPr/>
        <w:t>A árvore geradora mínima é um dos problemas de grafos mais antigos e básicos da ciência da computação. Sua história remonta ao algoritmo de Boruvkas. Dado um grafo ponderado por arestas, a árvore geradora mínima consiste em encontrar uma subárvore que abranja todos os vértices e cujo peso total seja mínimo (PEER &amp; WIGDERSON, 1998). Uma árvore geradora mínima é uma árvore formada a partir de um subconjunto das arestas em um dado grafo não direcionado, com duas propriedades: ela gera o grafo, ou seja, inclui todos os vértices, e ela é mínima, ou seja, o peso total de todas as arestas é o menor possível (WU &amp; CHAO, 2004). Para o problema do caixeiro viajante, a árvore geradora mínima quer achar a melhor de todas rotas, gerando um grafo euleriano que conecta todas as cidades e caracteriza-se por ter razão de desempenho no pior caso igual a 2. Por exemplo, o custo obtido pelo algoritmo da árvore é duas vezes o custo da rota ótima (SOTO, 1999).</w:t>
      </w:r>
    </w:p>
    <w:p>
      <w:pPr>
        <w:pStyle w:val="Normal"/>
        <w:jc w:val="both"/>
        <w:rPr>
          <w:color w:val="C9211E"/>
        </w:rPr>
      </w:pPr>
      <w:r>
        <w:rPr>
          <w:color w:val="C9211E"/>
        </w:rPr>
        <w:t xml:space="preserve">(inserir parágrafo sobre algoritmo </w:t>
      </w:r>
      <w:r>
        <w:rPr>
          <w:color w:val="C9211E"/>
        </w:rPr>
        <w:t xml:space="preserve">de </w:t>
      </w:r>
      <w:r>
        <w:rPr>
          <w:color w:val="C9211E"/>
        </w:rPr>
        <w:t>busca em profundidade)</w:t>
      </w:r>
    </w:p>
    <w:p>
      <w:pPr>
        <w:pStyle w:val="Normal"/>
        <w:jc w:val="both"/>
        <w:rPr>
          <w:b/>
          <w:bCs/>
        </w:rPr>
      </w:pPr>
      <w:r>
        <w:rPr>
          <w:b/>
          <w:bCs/>
        </w:rPr>
        <w:t>Algoritmos implementados e Análise de complexidade (Notação Big(O))</w:t>
      </w:r>
    </w:p>
    <w:p>
      <w:pPr>
        <w:pStyle w:val="Normal"/>
        <w:jc w:val="both"/>
        <w:rPr/>
      </w:pPr>
      <w:r>
        <w:rPr/>
        <w:t xml:space="preserve">Foram implementadas duas abordagens para demonstrar o </w:t>
      </w:r>
      <w:r>
        <w:rPr>
          <w:i/>
          <w:iCs/>
        </w:rPr>
        <w:t>trade-off</w:t>
      </w:r>
      <w:r>
        <w:rPr/>
        <w:t xml:space="preserve"> (relação de compromisso) entre a qualidade da solução e o tempo de execução.</w:t>
      </w:r>
    </w:p>
    <w:p>
      <w:pPr>
        <w:pStyle w:val="Normal"/>
        <w:jc w:val="both"/>
        <w:rPr/>
      </w:pPr>
      <w:r>
        <w:rPr/>
        <w:t>1. Algoritmo de Força Bruta</w:t>
      </w:r>
    </w:p>
    <w:p>
      <w:pPr>
        <w:pStyle w:val="Normal"/>
        <w:numPr>
          <w:ilvl w:val="0"/>
          <w:numId w:val="1"/>
        </w:numPr>
        <w:jc w:val="both"/>
        <w:rPr/>
      </w:pPr>
      <w:r>
        <w:rPr>
          <w:b/>
          <w:bCs/>
        </w:rPr>
        <w:t>Estratégia e Implementação:</w:t>
      </w:r>
      <w:r>
        <w:rPr/>
        <w:t xml:space="preserve"> Utiliza um algoritmo recursivo de </w:t>
      </w:r>
      <w:r>
        <w:rPr>
          <w:i/>
          <w:iCs/>
        </w:rPr>
        <w:t>backtracking</w:t>
      </w:r>
      <w:r>
        <w:rPr/>
        <w:t xml:space="preserve"> para verificar exaustivamente todos os caminhos possíveis.</w:t>
      </w:r>
    </w:p>
    <w:p>
      <w:pPr>
        <w:pStyle w:val="Normal"/>
        <w:numPr>
          <w:ilvl w:val="0"/>
          <w:numId w:val="1"/>
        </w:numPr>
        <w:jc w:val="both"/>
        <w:rPr/>
      </w:pPr>
      <w:r>
        <w:rPr>
          <w:b/>
          <w:bCs/>
        </w:rPr>
        <w:t>Garantia:</w:t>
      </w:r>
      <w:r>
        <w:rPr/>
        <w:t xml:space="preserve"> Encontra sempre a melhor solução (ótima).</w:t>
      </w:r>
    </w:p>
    <w:p>
      <w:pPr>
        <w:pStyle w:val="Normal"/>
        <w:numPr>
          <w:ilvl w:val="0"/>
          <w:numId w:val="1"/>
        </w:numPr>
        <w:jc w:val="both"/>
        <w:rPr/>
      </w:pPr>
      <w:r>
        <w:rPr>
          <w:b/>
          <w:bCs/>
        </w:rPr>
        <w:t>Análise de Complexidade:</w:t>
      </w:r>
      <w:r>
        <w:rPr/>
        <w:t xml:space="preserve"> </w:t>
      </w:r>
      <w:r>
        <w:rPr>
          <w:b/>
          <w:bCs/>
        </w:rPr>
        <w:t>O(n!):</w:t>
      </w:r>
    </w:p>
    <w:p>
      <w:pPr>
        <w:pStyle w:val="Normal"/>
        <w:numPr>
          <w:ilvl w:val="1"/>
          <w:numId w:val="1"/>
        </w:numPr>
        <w:jc w:val="both"/>
        <w:rPr/>
      </w:pPr>
      <w:r>
        <w:rPr>
          <w:b/>
          <w:bCs/>
        </w:rPr>
        <w:t>Comportamento Teórico:</w:t>
      </w:r>
      <w:r>
        <w:rPr/>
        <w:t xml:space="preserve"> Apresenta um crescimento fatorial (exponencial). O número de permutações escala de maneira insustentável: para 10 cidades, são 3.628.800 permutações possíveis; para 26 cidades, esse número explode para 403.291.461.126.605.635.584.000.000 de operações.</w:t>
      </w:r>
    </w:p>
    <w:p>
      <w:pPr>
        <w:pStyle w:val="Normal"/>
        <w:numPr>
          <w:ilvl w:val="1"/>
          <w:numId w:val="1"/>
        </w:numPr>
        <w:jc w:val="both"/>
        <w:rPr/>
      </w:pPr>
      <w:r>
        <w:rPr>
          <w:b/>
          <w:bCs/>
        </w:rPr>
        <w:t>Avaliação:</w:t>
      </w:r>
      <w:r>
        <w:rPr/>
        <w:t xml:space="preserve"> Devido a essa complexidade, a abordagem torna-se inviável para instâncias com mais de 11 a 13 cidades.</w:t>
      </w:r>
    </w:p>
    <w:p>
      <w:pPr>
        <w:pStyle w:val="Normal"/>
        <w:jc w:val="both"/>
        <w:rPr/>
      </w:pPr>
      <w:r>
        <w:rPr/>
        <w:t>2. Algoritmo Heurístico (Aproximativo)</w:t>
      </w:r>
    </w:p>
    <w:p>
      <w:pPr>
        <w:pStyle w:val="Normal"/>
        <w:numPr>
          <w:ilvl w:val="0"/>
          <w:numId w:val="2"/>
        </w:numPr>
        <w:jc w:val="both"/>
        <w:rPr/>
      </w:pPr>
      <w:r>
        <w:rPr>
          <w:b/>
          <w:bCs/>
        </w:rPr>
        <w:t>Estratégia e Implementação:</w:t>
      </w:r>
      <w:r>
        <w:rPr/>
        <w:t xml:space="preserve"> Utiliza uma Árvore Geradora Mínima (MST) com a biblioteca SciPy, seguida de uma busca em profundidade (DFS) para construir um ciclo hamiltoniano.</w:t>
      </w:r>
    </w:p>
    <w:p>
      <w:pPr>
        <w:pStyle w:val="Normal"/>
        <w:numPr>
          <w:ilvl w:val="0"/>
          <w:numId w:val="2"/>
        </w:numPr>
        <w:jc w:val="both"/>
        <w:rPr/>
      </w:pPr>
      <w:r>
        <w:rPr>
          <w:b/>
          <w:bCs/>
        </w:rPr>
        <w:t>Garantia:</w:t>
      </w:r>
      <w:r>
        <w:rPr/>
        <w:t xml:space="preserve"> Trata-se de um algoritmo 2-aproximado, garantindo uma solução que é, no máximo, 2 vezes pior que o resultado ótimo (ou seja, ≤ 2.0x).</w:t>
      </w:r>
    </w:p>
    <w:p>
      <w:pPr>
        <w:pStyle w:val="Normal"/>
        <w:numPr>
          <w:ilvl w:val="0"/>
          <w:numId w:val="2"/>
        </w:numPr>
        <w:jc w:val="both"/>
        <w:rPr/>
      </w:pPr>
      <w:r>
        <w:rPr>
          <w:b/>
          <w:bCs/>
        </w:rPr>
        <w:t>Análise de Complexidade:</w:t>
      </w:r>
      <w:r>
        <w:rPr/>
        <w:t xml:space="preserve"> </w:t>
      </w:r>
      <w:r>
        <w:rPr>
          <w:b/>
          <w:bCs/>
        </w:rPr>
        <w:t>O(n²)</w:t>
      </w:r>
      <w:r>
        <w:rPr/>
        <w:t xml:space="preserve"> (composto também por passos O(n log n)):</w:t>
      </w:r>
    </w:p>
    <w:p>
      <w:pPr>
        <w:pStyle w:val="Normal"/>
        <w:numPr>
          <w:ilvl w:val="1"/>
          <w:numId w:val="2"/>
        </w:numPr>
        <w:jc w:val="both"/>
        <w:rPr/>
      </w:pPr>
      <w:r>
        <w:rPr>
          <w:b/>
          <w:bCs/>
        </w:rPr>
        <w:t>Comportamento Teórico:</w:t>
      </w:r>
      <w:r>
        <w:rPr/>
        <w:t xml:space="preserve"> Apresenta um crescimento polinomial, sendo mais tratável do que a busca exaustiva. Para 10 cidades, realiza apenas cerca de 100 operações; para 26 cidades, 676 operações.</w:t>
      </w:r>
    </w:p>
    <w:p>
      <w:pPr>
        <w:pStyle w:val="Normal"/>
        <w:numPr>
          <w:ilvl w:val="1"/>
          <w:numId w:val="2"/>
        </w:numPr>
        <w:jc w:val="both"/>
        <w:rPr/>
      </w:pPr>
      <w:r>
        <w:rPr>
          <w:b/>
          <w:bCs/>
        </w:rPr>
        <w:t>Avaliação:</w:t>
      </w:r>
      <w:r>
        <w:rPr/>
        <w:t xml:space="preserve"> É escalável para resolver instâncias maiores (milhares de cidades) em tempos da ordem de milissegundos.</w:t>
      </w:r>
    </w:p>
    <w:p>
      <w:pPr>
        <w:pStyle w:val="Normal"/>
        <w:jc w:val="both"/>
        <w:rPr/>
      </w:pPr>
      <w:r>
        <w:rPr>
          <w:b/>
          <w:bCs/>
        </w:rPr>
        <w:t>Testes e Indicadores</w:t>
      </w:r>
    </w:p>
    <w:p>
      <w:pPr>
        <w:pStyle w:val="Normal"/>
        <w:jc w:val="both"/>
        <w:rPr/>
      </w:pPr>
      <w:r>
        <w:rPr/>
        <w:t xml:space="preserve">Os testes avaliaram conjuntos contendo 5, 9, 10, 11, 12, 13 e um </w:t>
      </w:r>
      <w:r>
        <w:rPr>
          <w:i/>
          <w:iCs/>
        </w:rPr>
        <w:t>dataset</w:t>
      </w:r>
      <w:r>
        <w:rPr/>
        <w:t xml:space="preserve"> completo composto de distâncias rodoviárias entre todas as 26 capitais brasileiras (Macapá ficou de fora por não possuir acesso rodoviário). </w:t>
      </w:r>
    </w:p>
    <w:p>
      <w:pPr>
        <w:pStyle w:val="Normal"/>
        <w:jc w:val="both"/>
        <w:rPr/>
      </w:pPr>
      <w:r>
        <w:rPr/>
        <w:t xml:space="preserve">Os resultados de desempenho, incluindo o número de operações teóricas executadas, o custo e o </w:t>
      </w:r>
      <w:r>
        <w:rPr>
          <w:i/>
          <w:iCs/>
        </w:rPr>
        <w:t>speedup</w:t>
      </w:r>
      <w:r>
        <w:rPr/>
        <w:t>, estão sumarizados na Tabela 1:</w:t>
      </w:r>
    </w:p>
    <w:p>
      <w:pPr>
        <w:pStyle w:val="Normal"/>
        <w:jc w:val="both"/>
        <w:rPr>
          <w:sz w:val="20"/>
          <w:szCs w:val="20"/>
        </w:rPr>
      </w:pPr>
      <w:r>
        <w:rPr>
          <w:b/>
          <w:bCs/>
          <w:sz w:val="20"/>
          <w:szCs w:val="20"/>
        </w:rPr>
        <w:t xml:space="preserve">Tabela 1. </w:t>
      </w:r>
      <w:r>
        <w:rPr>
          <w:sz w:val="20"/>
          <w:szCs w:val="20"/>
        </w:rPr>
        <w:t xml:space="preserve"> Resultados de desempenho para diferentes tamanhos do </w:t>
      </w:r>
      <w:r>
        <w:rPr>
          <w:i/>
          <w:iCs/>
          <w:sz w:val="20"/>
          <w:szCs w:val="20"/>
        </w:rPr>
        <w:t xml:space="preserve">dataset. </w:t>
      </w:r>
      <w:r>
        <w:rPr>
          <w:i w:val="false"/>
          <w:iCs w:val="false"/>
          <w:sz w:val="20"/>
          <w:szCs w:val="20"/>
        </w:rPr>
        <w:t xml:space="preserve">Força Bruta  = FB e Aproximativo = A. </w:t>
      </w:r>
      <w:r>
        <w:rPr>
          <w:i w:val="false"/>
          <w:iCs w:val="false"/>
          <w:sz w:val="20"/>
          <w:szCs w:val="20"/>
        </w:rPr>
        <w:t>Fonte: os autores, 2026.</w:t>
      </w:r>
    </w:p>
    <w:tbl>
      <w:tblPr>
        <w:tblW w:w="8520"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702"/>
        <w:gridCol w:w="1070"/>
        <w:gridCol w:w="914"/>
        <w:gridCol w:w="1071"/>
        <w:gridCol w:w="849"/>
        <w:gridCol w:w="683"/>
        <w:gridCol w:w="794"/>
        <w:gridCol w:w="794"/>
        <w:gridCol w:w="535"/>
        <w:gridCol w:w="1108"/>
      </w:tblGrid>
      <w:tr>
        <w:trPr/>
        <w:tc>
          <w:tcPr>
            <w:tcW w:w="702" w:type="dxa"/>
            <w:tcBorders>
              <w:bottom w:val="single" w:sz="6" w:space="0" w:color="5E5E5E"/>
            </w:tcBorders>
          </w:tcPr>
          <w:p>
            <w:pPr>
              <w:pStyle w:val="Normal"/>
              <w:spacing w:before="0" w:after="160"/>
              <w:jc w:val="both"/>
              <w:rPr>
                <w:b/>
                <w:bCs/>
                <w:sz w:val="16"/>
                <w:szCs w:val="16"/>
              </w:rPr>
            </w:pPr>
            <w:r>
              <w:rPr>
                <w:b/>
                <w:bCs/>
                <w:sz w:val="16"/>
                <w:szCs w:val="16"/>
              </w:rPr>
              <w:t>Cidades</w:t>
            </w:r>
          </w:p>
        </w:tc>
        <w:tc>
          <w:tcPr>
            <w:tcW w:w="1070" w:type="dxa"/>
            <w:tcBorders>
              <w:bottom w:val="single" w:sz="6" w:space="0" w:color="5E5E5E"/>
            </w:tcBorders>
          </w:tcPr>
          <w:p>
            <w:pPr>
              <w:pStyle w:val="Normal"/>
              <w:spacing w:before="0" w:after="0"/>
              <w:jc w:val="both"/>
              <w:rPr/>
            </w:pPr>
            <w:r>
              <w:rPr>
                <w:b/>
                <w:bCs/>
                <w:sz w:val="16"/>
                <w:szCs w:val="16"/>
              </w:rPr>
              <w:t>Operaçõe</w:t>
            </w:r>
            <w:r>
              <w:rPr>
                <w:b/>
                <w:bCs/>
                <w:sz w:val="16"/>
                <w:szCs w:val="16"/>
              </w:rPr>
              <w:t xml:space="preserve">s </w:t>
            </w:r>
          </w:p>
          <w:p>
            <w:pPr>
              <w:pStyle w:val="Normal"/>
              <w:spacing w:before="0" w:after="0"/>
              <w:jc w:val="both"/>
              <w:rPr/>
            </w:pPr>
            <w:r>
              <w:rPr>
                <w:b/>
                <w:bCs/>
                <w:sz w:val="16"/>
                <w:szCs w:val="16"/>
              </w:rPr>
              <w:t>(</w:t>
            </w:r>
            <w:r>
              <w:rPr>
                <w:b/>
                <w:bCs/>
                <w:sz w:val="16"/>
                <w:szCs w:val="16"/>
              </w:rPr>
              <w:t>FB</w:t>
            </w:r>
            <w:r>
              <w:rPr>
                <w:b/>
                <w:bCs/>
                <w:sz w:val="16"/>
                <w:szCs w:val="16"/>
              </w:rPr>
              <w:t>)</w:t>
            </w:r>
          </w:p>
        </w:tc>
        <w:tc>
          <w:tcPr>
            <w:tcW w:w="914" w:type="dxa"/>
            <w:tcBorders>
              <w:bottom w:val="single" w:sz="6" w:space="0" w:color="5E5E5E"/>
            </w:tcBorders>
          </w:tcPr>
          <w:p>
            <w:pPr>
              <w:pStyle w:val="Normal"/>
              <w:spacing w:before="0" w:after="0"/>
              <w:jc w:val="both"/>
              <w:rPr>
                <w:b/>
                <w:bCs/>
                <w:sz w:val="16"/>
                <w:szCs w:val="16"/>
              </w:rPr>
            </w:pPr>
            <w:r>
              <w:rPr>
                <w:b/>
                <w:bCs/>
                <w:sz w:val="16"/>
                <w:szCs w:val="16"/>
              </w:rPr>
              <w:t>Operações</w:t>
            </w:r>
          </w:p>
          <w:p>
            <w:pPr>
              <w:pStyle w:val="Normal"/>
              <w:spacing w:before="0" w:after="0"/>
              <w:jc w:val="both"/>
              <w:rPr>
                <w:b/>
                <w:bCs/>
                <w:sz w:val="16"/>
                <w:szCs w:val="16"/>
              </w:rPr>
            </w:pPr>
            <w:r>
              <w:rPr>
                <w:b/>
                <w:bCs/>
                <w:sz w:val="16"/>
                <w:szCs w:val="16"/>
              </w:rPr>
              <w:t>(A)</w:t>
            </w:r>
            <w:r>
              <w:rPr>
                <w:rStyle w:val="FootnoteReference"/>
                <w:b/>
                <w:bCs/>
                <w:sz w:val="16"/>
                <w:szCs w:val="16"/>
              </w:rPr>
              <w:footnoteReference w:id="2"/>
            </w:r>
          </w:p>
        </w:tc>
        <w:tc>
          <w:tcPr>
            <w:tcW w:w="1071" w:type="dxa"/>
            <w:tcBorders>
              <w:bottom w:val="single" w:sz="6" w:space="0" w:color="5E5E5E"/>
            </w:tcBorders>
          </w:tcPr>
          <w:p>
            <w:pPr>
              <w:pStyle w:val="Normal"/>
              <w:spacing w:before="0" w:after="0"/>
              <w:jc w:val="both"/>
              <w:rPr>
                <w:b/>
                <w:bCs/>
                <w:sz w:val="16"/>
                <w:szCs w:val="16"/>
              </w:rPr>
            </w:pPr>
            <w:r>
              <w:rPr>
                <w:b/>
                <w:bCs/>
                <w:sz w:val="16"/>
                <w:szCs w:val="16"/>
              </w:rPr>
              <w:t>Custo Ótimo</w:t>
            </w:r>
          </w:p>
          <w:p>
            <w:pPr>
              <w:pStyle w:val="Normal"/>
              <w:spacing w:before="0" w:after="0"/>
              <w:jc w:val="both"/>
              <w:rPr>
                <w:b/>
                <w:bCs/>
                <w:sz w:val="16"/>
                <w:szCs w:val="16"/>
              </w:rPr>
            </w:pPr>
            <w:r>
              <w:rPr>
                <w:b/>
                <w:bCs/>
                <w:sz w:val="16"/>
                <w:szCs w:val="16"/>
              </w:rPr>
              <w:t>(F</w:t>
            </w:r>
            <w:r>
              <w:rPr>
                <w:b/>
                <w:bCs/>
                <w:sz w:val="16"/>
                <w:szCs w:val="16"/>
              </w:rPr>
              <w:t>B</w:t>
            </w:r>
            <w:r>
              <w:rPr>
                <w:b/>
                <w:bCs/>
                <w:sz w:val="16"/>
                <w:szCs w:val="16"/>
              </w:rPr>
              <w:t>)</w:t>
            </w:r>
          </w:p>
        </w:tc>
        <w:tc>
          <w:tcPr>
            <w:tcW w:w="849" w:type="dxa"/>
            <w:tcBorders>
              <w:bottom w:val="single" w:sz="6" w:space="0" w:color="5E5E5E"/>
            </w:tcBorders>
          </w:tcPr>
          <w:p>
            <w:pPr>
              <w:pStyle w:val="Normal"/>
              <w:spacing w:before="0" w:after="0"/>
              <w:jc w:val="both"/>
              <w:rPr/>
            </w:pPr>
            <w:r>
              <w:rPr>
                <w:b/>
                <w:bCs/>
                <w:sz w:val="16"/>
                <w:szCs w:val="16"/>
              </w:rPr>
              <w:t>Tempo (s)</w:t>
            </w:r>
          </w:p>
          <w:p>
            <w:pPr>
              <w:pStyle w:val="Normal"/>
              <w:spacing w:before="0" w:after="0"/>
              <w:jc w:val="both"/>
              <w:rPr>
                <w:b/>
                <w:bCs/>
                <w:sz w:val="16"/>
                <w:szCs w:val="16"/>
              </w:rPr>
            </w:pPr>
            <w:r>
              <w:rPr>
                <w:b/>
                <w:bCs/>
                <w:sz w:val="16"/>
                <w:szCs w:val="16"/>
              </w:rPr>
              <w:t>(F</w:t>
            </w:r>
            <w:r>
              <w:rPr>
                <w:b/>
                <w:bCs/>
                <w:sz w:val="16"/>
                <w:szCs w:val="16"/>
              </w:rPr>
              <w:t>B</w:t>
            </w:r>
            <w:r>
              <w:rPr>
                <w:b/>
                <w:bCs/>
                <w:sz w:val="16"/>
                <w:szCs w:val="16"/>
              </w:rPr>
              <w:t>)</w:t>
            </w:r>
          </w:p>
        </w:tc>
        <w:tc>
          <w:tcPr>
            <w:tcW w:w="683" w:type="dxa"/>
            <w:tcBorders>
              <w:bottom w:val="single" w:sz="6" w:space="0" w:color="5E5E5E"/>
            </w:tcBorders>
          </w:tcPr>
          <w:p>
            <w:pPr>
              <w:pStyle w:val="Normal"/>
              <w:spacing w:before="0" w:after="0"/>
              <w:jc w:val="both"/>
              <w:rPr/>
            </w:pPr>
            <w:r>
              <w:rPr>
                <w:b/>
                <w:bCs/>
                <w:sz w:val="16"/>
                <w:szCs w:val="16"/>
              </w:rPr>
              <w:t xml:space="preserve">Custo </w:t>
            </w:r>
          </w:p>
          <w:p>
            <w:pPr>
              <w:pStyle w:val="Normal"/>
              <w:spacing w:before="0" w:after="0"/>
              <w:jc w:val="both"/>
              <w:rPr/>
            </w:pPr>
            <w:r>
              <w:rPr>
                <w:b/>
                <w:bCs/>
                <w:sz w:val="16"/>
                <w:szCs w:val="16"/>
              </w:rPr>
              <w:t xml:space="preserve">(A) </w:t>
            </w:r>
            <w:r>
              <w:rPr>
                <w:b/>
                <w:bCs/>
                <w:sz w:val="16"/>
                <w:szCs w:val="16"/>
              </w:rPr>
              <w:t xml:space="preserve"> </w:t>
            </w:r>
          </w:p>
          <w:p>
            <w:pPr>
              <w:pStyle w:val="Normal"/>
              <w:spacing w:before="0" w:after="0"/>
              <w:jc w:val="both"/>
              <w:rPr/>
            </w:pPr>
            <w:r>
              <w:rPr>
                <w:b/>
                <w:bCs/>
                <w:sz w:val="16"/>
                <w:szCs w:val="16"/>
              </w:rPr>
              <w:t xml:space="preserve">(Melhor </w:t>
            </w:r>
            <w:r>
              <w:rPr>
                <w:b/>
                <w:bCs/>
                <w:sz w:val="16"/>
                <w:szCs w:val="16"/>
              </w:rPr>
              <w:t>caso</w:t>
            </w:r>
            <w:r>
              <w:rPr>
                <w:b/>
                <w:bCs/>
                <w:sz w:val="16"/>
                <w:szCs w:val="16"/>
              </w:rPr>
              <w:t>)</w:t>
            </w:r>
          </w:p>
        </w:tc>
        <w:tc>
          <w:tcPr>
            <w:tcW w:w="794" w:type="dxa"/>
            <w:tcBorders>
              <w:bottom w:val="single" w:sz="6" w:space="0" w:color="5E5E5E"/>
            </w:tcBorders>
          </w:tcPr>
          <w:p>
            <w:pPr>
              <w:pStyle w:val="Normal"/>
              <w:spacing w:before="0" w:after="160"/>
              <w:jc w:val="both"/>
              <w:rPr>
                <w:b/>
                <w:bCs/>
                <w:sz w:val="16"/>
                <w:szCs w:val="16"/>
              </w:rPr>
            </w:pPr>
            <w:r>
              <w:rPr>
                <w:b/>
                <w:bCs/>
                <w:sz w:val="16"/>
                <w:szCs w:val="16"/>
              </w:rPr>
              <w:t xml:space="preserve">Tempo(s) </w:t>
            </w:r>
            <w:r>
              <w:rPr>
                <w:b/>
                <w:bCs/>
                <w:sz w:val="16"/>
                <w:szCs w:val="16"/>
              </w:rPr>
              <w:t>(A)</w:t>
            </w:r>
            <w:r>
              <w:rPr>
                <w:b/>
                <w:bCs/>
                <w:sz w:val="16"/>
                <w:szCs w:val="16"/>
              </w:rPr>
              <w:t xml:space="preserve"> </w:t>
            </w:r>
          </w:p>
        </w:tc>
        <w:tc>
          <w:tcPr>
            <w:tcW w:w="794" w:type="dxa"/>
            <w:tcBorders>
              <w:bottom w:val="single" w:sz="6" w:space="0" w:color="5E5E5E"/>
            </w:tcBorders>
          </w:tcPr>
          <w:p>
            <w:pPr>
              <w:pStyle w:val="Normal"/>
              <w:spacing w:before="0" w:after="160"/>
              <w:jc w:val="both"/>
              <w:rPr>
                <w:b/>
                <w:bCs/>
                <w:sz w:val="16"/>
                <w:szCs w:val="16"/>
              </w:rPr>
            </w:pPr>
            <w:r>
              <w:rPr>
                <w:b/>
                <w:bCs/>
                <w:sz w:val="16"/>
                <w:szCs w:val="16"/>
              </w:rPr>
              <w:t>Desvio em relação ao ótimo</w:t>
            </w:r>
          </w:p>
        </w:tc>
        <w:tc>
          <w:tcPr>
            <w:tcW w:w="535" w:type="dxa"/>
            <w:tcBorders>
              <w:bottom w:val="single" w:sz="6" w:space="0" w:color="5E5E5E"/>
            </w:tcBorders>
          </w:tcPr>
          <w:p>
            <w:pPr>
              <w:pStyle w:val="Normal"/>
              <w:spacing w:before="0" w:after="160"/>
              <w:jc w:val="both"/>
              <w:rPr>
                <w:b/>
                <w:bCs/>
                <w:sz w:val="16"/>
                <w:szCs w:val="16"/>
              </w:rPr>
            </w:pPr>
            <w:r>
              <w:rPr>
                <w:b/>
                <w:bCs/>
                <w:sz w:val="16"/>
                <w:szCs w:val="16"/>
              </w:rPr>
              <w:t>Razão</w:t>
            </w:r>
          </w:p>
        </w:tc>
        <w:tc>
          <w:tcPr>
            <w:tcW w:w="1108" w:type="dxa"/>
            <w:tcBorders>
              <w:bottom w:val="single" w:sz="6" w:space="0" w:color="5E5E5E"/>
            </w:tcBorders>
          </w:tcPr>
          <w:p>
            <w:pPr>
              <w:pStyle w:val="Normal"/>
              <w:spacing w:before="0" w:after="160"/>
              <w:jc w:val="both"/>
              <w:rPr>
                <w:b/>
                <w:bCs/>
                <w:sz w:val="16"/>
                <w:szCs w:val="16"/>
              </w:rPr>
            </w:pPr>
            <w:r>
              <w:rPr>
                <w:b/>
                <w:bCs/>
                <w:sz w:val="16"/>
                <w:szCs w:val="16"/>
              </w:rPr>
              <w:t>Desempenho (</w:t>
            </w:r>
            <w:r>
              <w:rPr>
                <w:b/>
                <w:bCs/>
                <w:i/>
                <w:iCs/>
                <w:sz w:val="16"/>
                <w:szCs w:val="16"/>
              </w:rPr>
              <w:t>Speedup</w:t>
            </w:r>
            <w:r>
              <w:rPr>
                <w:b/>
                <w:bCs/>
                <w:sz w:val="16"/>
                <w:szCs w:val="16"/>
              </w:rPr>
              <w:t>)</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5</w:t>
            </w:r>
          </w:p>
        </w:tc>
        <w:tc>
          <w:tcPr>
            <w:tcW w:w="1070" w:type="dxa"/>
            <w:tcBorders>
              <w:bottom w:val="single" w:sz="6" w:space="0" w:color="37383B"/>
            </w:tcBorders>
          </w:tcPr>
          <w:p>
            <w:pPr>
              <w:pStyle w:val="Normal"/>
              <w:spacing w:before="0" w:after="160"/>
              <w:jc w:val="both"/>
              <w:rPr>
                <w:sz w:val="16"/>
                <w:szCs w:val="16"/>
              </w:rPr>
            </w:pPr>
            <w:r>
              <w:rPr>
                <w:sz w:val="16"/>
                <w:szCs w:val="16"/>
              </w:rPr>
              <w:t>120</w:t>
            </w:r>
          </w:p>
        </w:tc>
        <w:tc>
          <w:tcPr>
            <w:tcW w:w="914" w:type="dxa"/>
            <w:tcBorders>
              <w:bottom w:val="single" w:sz="6" w:space="0" w:color="37383B"/>
            </w:tcBorders>
          </w:tcPr>
          <w:p>
            <w:pPr>
              <w:pStyle w:val="Normal"/>
              <w:spacing w:before="0" w:after="160"/>
              <w:jc w:val="both"/>
              <w:rPr>
                <w:sz w:val="16"/>
                <w:szCs w:val="16"/>
              </w:rPr>
            </w:pPr>
            <w:r>
              <w:rPr>
                <w:sz w:val="16"/>
                <w:szCs w:val="16"/>
              </w:rPr>
              <w:t>25</w:t>
            </w:r>
          </w:p>
        </w:tc>
        <w:tc>
          <w:tcPr>
            <w:tcW w:w="1071" w:type="dxa"/>
            <w:tcBorders>
              <w:bottom w:val="single" w:sz="6" w:space="0" w:color="37383B"/>
            </w:tcBorders>
          </w:tcPr>
          <w:p>
            <w:pPr>
              <w:pStyle w:val="Normal"/>
              <w:spacing w:before="0" w:after="160"/>
              <w:jc w:val="both"/>
              <w:rPr>
                <w:sz w:val="16"/>
                <w:szCs w:val="16"/>
              </w:rPr>
            </w:pPr>
            <w:r>
              <w:rPr>
                <w:sz w:val="16"/>
                <w:szCs w:val="16"/>
              </w:rPr>
              <w:t>575.895</w:t>
            </w:r>
          </w:p>
        </w:tc>
        <w:tc>
          <w:tcPr>
            <w:tcW w:w="849" w:type="dxa"/>
            <w:tcBorders>
              <w:bottom w:val="single" w:sz="6" w:space="0" w:color="37383B"/>
            </w:tcBorders>
          </w:tcPr>
          <w:p>
            <w:pPr>
              <w:pStyle w:val="Normal"/>
              <w:spacing w:before="0" w:after="160"/>
              <w:jc w:val="both"/>
              <w:rPr>
                <w:sz w:val="16"/>
                <w:szCs w:val="16"/>
              </w:rPr>
            </w:pPr>
            <w:r>
              <w:rPr>
                <w:sz w:val="16"/>
                <w:szCs w:val="16"/>
              </w:rPr>
              <w:t>0.000154</w:t>
            </w:r>
          </w:p>
        </w:tc>
        <w:tc>
          <w:tcPr>
            <w:tcW w:w="683" w:type="dxa"/>
            <w:tcBorders>
              <w:bottom w:val="single" w:sz="6" w:space="0" w:color="37383B"/>
            </w:tcBorders>
          </w:tcPr>
          <w:p>
            <w:pPr>
              <w:pStyle w:val="Normal"/>
              <w:spacing w:before="0" w:after="160"/>
              <w:jc w:val="both"/>
              <w:rPr>
                <w:sz w:val="16"/>
                <w:szCs w:val="16"/>
              </w:rPr>
            </w:pPr>
            <w:r>
              <w:rPr>
                <w:sz w:val="16"/>
                <w:szCs w:val="16"/>
              </w:rPr>
              <w:t>575.895</w:t>
            </w:r>
          </w:p>
        </w:tc>
        <w:tc>
          <w:tcPr>
            <w:tcW w:w="794" w:type="dxa"/>
            <w:tcBorders>
              <w:bottom w:val="single" w:sz="6" w:space="0" w:color="37383B"/>
            </w:tcBorders>
          </w:tcPr>
          <w:p>
            <w:pPr>
              <w:pStyle w:val="Normal"/>
              <w:spacing w:before="0" w:after="160"/>
              <w:jc w:val="both"/>
              <w:rPr>
                <w:sz w:val="16"/>
                <w:szCs w:val="16"/>
              </w:rPr>
            </w:pPr>
            <w:r>
              <w:rPr>
                <w:sz w:val="16"/>
                <w:szCs w:val="16"/>
              </w:rPr>
              <w:t>0.018393</w:t>
            </w:r>
          </w:p>
        </w:tc>
        <w:tc>
          <w:tcPr>
            <w:tcW w:w="794" w:type="dxa"/>
            <w:tcBorders>
              <w:bottom w:val="single" w:sz="6" w:space="0" w:color="37383B"/>
            </w:tcBorders>
          </w:tcPr>
          <w:p>
            <w:pPr>
              <w:pStyle w:val="Normal"/>
              <w:spacing w:before="0" w:after="160"/>
              <w:jc w:val="both"/>
              <w:rPr>
                <w:sz w:val="16"/>
                <w:szCs w:val="16"/>
              </w:rPr>
            </w:pPr>
            <w:r>
              <w:rPr>
                <w:sz w:val="16"/>
                <w:szCs w:val="16"/>
              </w:rPr>
              <w:t>-</w:t>
            </w:r>
          </w:p>
        </w:tc>
        <w:tc>
          <w:tcPr>
            <w:tcW w:w="535" w:type="dxa"/>
            <w:tcBorders>
              <w:bottom w:val="single" w:sz="6" w:space="0" w:color="37383B"/>
            </w:tcBorders>
          </w:tcPr>
          <w:p>
            <w:pPr>
              <w:pStyle w:val="Normal"/>
              <w:spacing w:before="0" w:after="160"/>
              <w:jc w:val="both"/>
              <w:rPr>
                <w:sz w:val="16"/>
                <w:szCs w:val="16"/>
              </w:rPr>
            </w:pPr>
            <w:r>
              <w:rPr>
                <w:sz w:val="16"/>
                <w:szCs w:val="16"/>
              </w:rPr>
              <w:t>1.0000x</w:t>
            </w:r>
          </w:p>
        </w:tc>
        <w:tc>
          <w:tcPr>
            <w:tcW w:w="1108" w:type="dxa"/>
            <w:tcBorders>
              <w:bottom w:val="single" w:sz="6" w:space="0" w:color="37383B"/>
            </w:tcBorders>
          </w:tcPr>
          <w:p>
            <w:pPr>
              <w:pStyle w:val="Normal"/>
              <w:spacing w:before="0" w:after="160"/>
              <w:jc w:val="both"/>
              <w:rPr>
                <w:sz w:val="16"/>
                <w:szCs w:val="16"/>
              </w:rPr>
            </w:pPr>
            <w:r>
              <w:rPr>
                <w:sz w:val="16"/>
                <w:szCs w:val="16"/>
              </w:rPr>
              <w:t>0.01x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9</w:t>
            </w:r>
          </w:p>
        </w:tc>
        <w:tc>
          <w:tcPr>
            <w:tcW w:w="1070" w:type="dxa"/>
            <w:tcBorders>
              <w:bottom w:val="single" w:sz="6" w:space="0" w:color="37383B"/>
            </w:tcBorders>
          </w:tcPr>
          <w:p>
            <w:pPr>
              <w:pStyle w:val="Normal"/>
              <w:spacing w:before="0" w:after="160"/>
              <w:jc w:val="both"/>
              <w:rPr>
                <w:sz w:val="16"/>
                <w:szCs w:val="16"/>
              </w:rPr>
            </w:pPr>
            <w:r>
              <w:rPr>
                <w:sz w:val="16"/>
                <w:szCs w:val="16"/>
              </w:rPr>
              <w:t>362.880</w:t>
            </w:r>
          </w:p>
        </w:tc>
        <w:tc>
          <w:tcPr>
            <w:tcW w:w="914" w:type="dxa"/>
            <w:tcBorders>
              <w:bottom w:val="single" w:sz="6" w:space="0" w:color="37383B"/>
            </w:tcBorders>
          </w:tcPr>
          <w:p>
            <w:pPr>
              <w:pStyle w:val="Normal"/>
              <w:spacing w:before="0" w:after="160"/>
              <w:jc w:val="both"/>
              <w:rPr>
                <w:sz w:val="16"/>
                <w:szCs w:val="16"/>
              </w:rPr>
            </w:pPr>
            <w:r>
              <w:rPr>
                <w:sz w:val="16"/>
                <w:szCs w:val="16"/>
              </w:rPr>
              <w:t>81</w:t>
            </w:r>
          </w:p>
        </w:tc>
        <w:tc>
          <w:tcPr>
            <w:tcW w:w="1071" w:type="dxa"/>
            <w:tcBorders>
              <w:bottom w:val="single" w:sz="6" w:space="0" w:color="37383B"/>
            </w:tcBorders>
          </w:tcPr>
          <w:p>
            <w:pPr>
              <w:pStyle w:val="Normal"/>
              <w:spacing w:before="0" w:after="160"/>
              <w:jc w:val="both"/>
              <w:rPr>
                <w:sz w:val="16"/>
                <w:szCs w:val="16"/>
              </w:rPr>
            </w:pPr>
            <w:r>
              <w:rPr>
                <w:sz w:val="16"/>
                <w:szCs w:val="16"/>
              </w:rPr>
              <w:t>927.306</w:t>
            </w:r>
          </w:p>
        </w:tc>
        <w:tc>
          <w:tcPr>
            <w:tcW w:w="849" w:type="dxa"/>
            <w:tcBorders>
              <w:bottom w:val="single" w:sz="6" w:space="0" w:color="37383B"/>
            </w:tcBorders>
          </w:tcPr>
          <w:p>
            <w:pPr>
              <w:pStyle w:val="Normal"/>
              <w:spacing w:before="0" w:after="160"/>
              <w:jc w:val="both"/>
              <w:rPr>
                <w:sz w:val="16"/>
                <w:szCs w:val="16"/>
              </w:rPr>
            </w:pPr>
            <w:r>
              <w:rPr>
                <w:sz w:val="16"/>
                <w:szCs w:val="16"/>
              </w:rPr>
              <w:t>0.201760</w:t>
            </w:r>
          </w:p>
        </w:tc>
        <w:tc>
          <w:tcPr>
            <w:tcW w:w="683" w:type="dxa"/>
            <w:tcBorders>
              <w:bottom w:val="single" w:sz="6" w:space="0" w:color="37383B"/>
            </w:tcBorders>
          </w:tcPr>
          <w:p>
            <w:pPr>
              <w:pStyle w:val="Normal"/>
              <w:spacing w:before="0" w:after="160"/>
              <w:jc w:val="both"/>
              <w:rPr>
                <w:sz w:val="16"/>
                <w:szCs w:val="16"/>
              </w:rPr>
            </w:pPr>
            <w:r>
              <w:rPr>
                <w:sz w:val="16"/>
                <w:szCs w:val="16"/>
              </w:rPr>
              <w:t>990.337</w:t>
            </w:r>
          </w:p>
        </w:tc>
        <w:tc>
          <w:tcPr>
            <w:tcW w:w="794" w:type="dxa"/>
            <w:tcBorders>
              <w:bottom w:val="single" w:sz="6" w:space="0" w:color="37383B"/>
            </w:tcBorders>
          </w:tcPr>
          <w:p>
            <w:pPr>
              <w:pStyle w:val="Normal"/>
              <w:spacing w:before="0" w:after="160"/>
              <w:jc w:val="both"/>
              <w:rPr>
                <w:sz w:val="16"/>
                <w:szCs w:val="16"/>
              </w:rPr>
            </w:pPr>
            <w:r>
              <w:rPr>
                <w:sz w:val="16"/>
                <w:szCs w:val="16"/>
              </w:rPr>
              <w:t>0.111504</w:t>
            </w:r>
          </w:p>
        </w:tc>
        <w:tc>
          <w:tcPr>
            <w:tcW w:w="794" w:type="dxa"/>
            <w:tcBorders>
              <w:bottom w:val="single" w:sz="6" w:space="0" w:color="37383B"/>
            </w:tcBorders>
          </w:tcPr>
          <w:p>
            <w:pPr>
              <w:pStyle w:val="Normal"/>
              <w:spacing w:before="0" w:after="160"/>
              <w:jc w:val="both"/>
              <w:rPr>
                <w:sz w:val="16"/>
                <w:szCs w:val="16"/>
              </w:rPr>
            </w:pPr>
            <w:r>
              <w:rPr>
                <w:sz w:val="16"/>
                <w:szCs w:val="16"/>
              </w:rPr>
              <w:t>6.80% pior</w:t>
            </w:r>
          </w:p>
        </w:tc>
        <w:tc>
          <w:tcPr>
            <w:tcW w:w="535" w:type="dxa"/>
            <w:tcBorders>
              <w:bottom w:val="single" w:sz="6" w:space="0" w:color="37383B"/>
            </w:tcBorders>
          </w:tcPr>
          <w:p>
            <w:pPr>
              <w:pStyle w:val="Normal"/>
              <w:spacing w:before="0" w:after="160"/>
              <w:jc w:val="both"/>
              <w:rPr>
                <w:sz w:val="16"/>
                <w:szCs w:val="16"/>
              </w:rPr>
            </w:pPr>
            <w:r>
              <w:rPr>
                <w:sz w:val="16"/>
                <w:szCs w:val="16"/>
              </w:rPr>
              <w:t>1.0680x</w:t>
            </w:r>
          </w:p>
        </w:tc>
        <w:tc>
          <w:tcPr>
            <w:tcW w:w="1108" w:type="dxa"/>
            <w:tcBorders>
              <w:bottom w:val="single" w:sz="6" w:space="0" w:color="37383B"/>
            </w:tcBorders>
          </w:tcPr>
          <w:p>
            <w:pPr>
              <w:pStyle w:val="Normal"/>
              <w:spacing w:before="0" w:after="160"/>
              <w:jc w:val="both"/>
              <w:rPr>
                <w:sz w:val="16"/>
                <w:szCs w:val="16"/>
              </w:rPr>
            </w:pPr>
            <w:r>
              <w:rPr>
                <w:sz w:val="16"/>
                <w:szCs w:val="16"/>
              </w:rPr>
              <w:t>1.81x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10</w:t>
            </w:r>
          </w:p>
        </w:tc>
        <w:tc>
          <w:tcPr>
            <w:tcW w:w="1070" w:type="dxa"/>
            <w:tcBorders>
              <w:bottom w:val="single" w:sz="6" w:space="0" w:color="37383B"/>
            </w:tcBorders>
          </w:tcPr>
          <w:p>
            <w:pPr>
              <w:pStyle w:val="Normal"/>
              <w:spacing w:before="0" w:after="160"/>
              <w:jc w:val="both"/>
              <w:rPr>
                <w:sz w:val="16"/>
                <w:szCs w:val="16"/>
              </w:rPr>
            </w:pPr>
            <w:r>
              <w:rPr>
                <w:sz w:val="16"/>
                <w:szCs w:val="16"/>
              </w:rPr>
              <w:t>3.628.800</w:t>
            </w:r>
          </w:p>
        </w:tc>
        <w:tc>
          <w:tcPr>
            <w:tcW w:w="914" w:type="dxa"/>
            <w:tcBorders>
              <w:bottom w:val="single" w:sz="6" w:space="0" w:color="37383B"/>
            </w:tcBorders>
          </w:tcPr>
          <w:p>
            <w:pPr>
              <w:pStyle w:val="Normal"/>
              <w:spacing w:before="0" w:after="160"/>
              <w:jc w:val="both"/>
              <w:rPr>
                <w:sz w:val="16"/>
                <w:szCs w:val="16"/>
              </w:rPr>
            </w:pPr>
            <w:r>
              <w:rPr>
                <w:sz w:val="16"/>
                <w:szCs w:val="16"/>
              </w:rPr>
              <w:t>100</w:t>
            </w:r>
          </w:p>
        </w:tc>
        <w:tc>
          <w:tcPr>
            <w:tcW w:w="1071" w:type="dxa"/>
            <w:tcBorders>
              <w:bottom w:val="single" w:sz="6" w:space="0" w:color="37383B"/>
            </w:tcBorders>
          </w:tcPr>
          <w:p>
            <w:pPr>
              <w:pStyle w:val="Normal"/>
              <w:spacing w:before="0" w:after="160"/>
              <w:jc w:val="both"/>
              <w:rPr>
                <w:sz w:val="16"/>
                <w:szCs w:val="16"/>
              </w:rPr>
            </w:pPr>
            <w:r>
              <w:rPr>
                <w:sz w:val="16"/>
                <w:szCs w:val="16"/>
              </w:rPr>
              <w:t>1.420.035</w:t>
            </w:r>
          </w:p>
        </w:tc>
        <w:tc>
          <w:tcPr>
            <w:tcW w:w="849" w:type="dxa"/>
            <w:tcBorders>
              <w:bottom w:val="single" w:sz="6" w:space="0" w:color="37383B"/>
            </w:tcBorders>
          </w:tcPr>
          <w:p>
            <w:pPr>
              <w:pStyle w:val="Normal"/>
              <w:spacing w:before="0" w:after="160"/>
              <w:jc w:val="both"/>
              <w:rPr>
                <w:sz w:val="16"/>
                <w:szCs w:val="16"/>
              </w:rPr>
            </w:pPr>
            <w:r>
              <w:rPr>
                <w:sz w:val="16"/>
                <w:szCs w:val="16"/>
              </w:rPr>
              <w:t>1.667059</w:t>
            </w:r>
          </w:p>
        </w:tc>
        <w:tc>
          <w:tcPr>
            <w:tcW w:w="683" w:type="dxa"/>
            <w:tcBorders>
              <w:bottom w:val="single" w:sz="6" w:space="0" w:color="37383B"/>
            </w:tcBorders>
          </w:tcPr>
          <w:p>
            <w:pPr>
              <w:pStyle w:val="Normal"/>
              <w:spacing w:before="0" w:after="160"/>
              <w:jc w:val="both"/>
              <w:rPr>
                <w:sz w:val="16"/>
                <w:szCs w:val="16"/>
              </w:rPr>
            </w:pPr>
            <w:r>
              <w:rPr>
                <w:sz w:val="16"/>
                <w:szCs w:val="16"/>
              </w:rPr>
              <w:t>1.605.210</w:t>
            </w:r>
          </w:p>
        </w:tc>
        <w:tc>
          <w:tcPr>
            <w:tcW w:w="794" w:type="dxa"/>
            <w:tcBorders>
              <w:bottom w:val="single" w:sz="6" w:space="0" w:color="37383B"/>
            </w:tcBorders>
          </w:tcPr>
          <w:p>
            <w:pPr>
              <w:pStyle w:val="Normal"/>
              <w:spacing w:before="0" w:after="160"/>
              <w:jc w:val="both"/>
              <w:rPr>
                <w:sz w:val="16"/>
                <w:szCs w:val="16"/>
              </w:rPr>
            </w:pPr>
            <w:r>
              <w:rPr>
                <w:sz w:val="16"/>
                <w:szCs w:val="16"/>
              </w:rPr>
              <w:t>0.012362</w:t>
            </w:r>
          </w:p>
        </w:tc>
        <w:tc>
          <w:tcPr>
            <w:tcW w:w="794" w:type="dxa"/>
            <w:tcBorders>
              <w:bottom w:val="single" w:sz="6" w:space="0" w:color="37383B"/>
            </w:tcBorders>
          </w:tcPr>
          <w:p>
            <w:pPr>
              <w:pStyle w:val="Normal"/>
              <w:spacing w:before="0" w:after="160"/>
              <w:jc w:val="both"/>
              <w:rPr>
                <w:sz w:val="16"/>
                <w:szCs w:val="16"/>
              </w:rPr>
            </w:pPr>
            <w:r>
              <w:rPr>
                <w:sz w:val="16"/>
                <w:szCs w:val="16"/>
              </w:rPr>
              <w:t>13.04% pior</w:t>
            </w:r>
          </w:p>
        </w:tc>
        <w:tc>
          <w:tcPr>
            <w:tcW w:w="535" w:type="dxa"/>
            <w:tcBorders>
              <w:bottom w:val="single" w:sz="6" w:space="0" w:color="37383B"/>
            </w:tcBorders>
          </w:tcPr>
          <w:p>
            <w:pPr>
              <w:pStyle w:val="Normal"/>
              <w:spacing w:before="0" w:after="160"/>
              <w:jc w:val="both"/>
              <w:rPr>
                <w:sz w:val="16"/>
                <w:szCs w:val="16"/>
              </w:rPr>
            </w:pPr>
            <w:r>
              <w:rPr>
                <w:sz w:val="16"/>
                <w:szCs w:val="16"/>
              </w:rPr>
              <w:t>1.1304x</w:t>
            </w:r>
          </w:p>
        </w:tc>
        <w:tc>
          <w:tcPr>
            <w:tcW w:w="1108" w:type="dxa"/>
            <w:tcBorders>
              <w:bottom w:val="single" w:sz="6" w:space="0" w:color="37383B"/>
            </w:tcBorders>
          </w:tcPr>
          <w:p>
            <w:pPr>
              <w:pStyle w:val="Normal"/>
              <w:spacing w:before="0" w:after="160"/>
              <w:jc w:val="both"/>
              <w:rPr>
                <w:sz w:val="16"/>
                <w:szCs w:val="16"/>
              </w:rPr>
            </w:pPr>
            <w:r>
              <w:rPr>
                <w:sz w:val="16"/>
                <w:szCs w:val="16"/>
              </w:rPr>
              <w:t>134.85x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11</w:t>
            </w:r>
          </w:p>
        </w:tc>
        <w:tc>
          <w:tcPr>
            <w:tcW w:w="1070" w:type="dxa"/>
            <w:tcBorders>
              <w:bottom w:val="single" w:sz="6" w:space="0" w:color="37383B"/>
            </w:tcBorders>
          </w:tcPr>
          <w:p>
            <w:pPr>
              <w:pStyle w:val="Normal"/>
              <w:spacing w:before="0" w:after="160"/>
              <w:jc w:val="both"/>
              <w:rPr>
                <w:sz w:val="16"/>
                <w:szCs w:val="16"/>
              </w:rPr>
            </w:pPr>
            <w:r>
              <w:rPr>
                <w:sz w:val="16"/>
                <w:szCs w:val="16"/>
              </w:rPr>
              <w:t>39.916.800</w:t>
            </w:r>
          </w:p>
        </w:tc>
        <w:tc>
          <w:tcPr>
            <w:tcW w:w="914" w:type="dxa"/>
            <w:tcBorders>
              <w:bottom w:val="single" w:sz="6" w:space="0" w:color="37383B"/>
            </w:tcBorders>
          </w:tcPr>
          <w:p>
            <w:pPr>
              <w:pStyle w:val="Normal"/>
              <w:spacing w:before="0" w:after="160"/>
              <w:jc w:val="both"/>
              <w:rPr>
                <w:sz w:val="16"/>
                <w:szCs w:val="16"/>
              </w:rPr>
            </w:pPr>
            <w:r>
              <w:rPr>
                <w:sz w:val="16"/>
                <w:szCs w:val="16"/>
              </w:rPr>
              <w:t>121</w:t>
            </w:r>
          </w:p>
        </w:tc>
        <w:tc>
          <w:tcPr>
            <w:tcW w:w="1071" w:type="dxa"/>
            <w:tcBorders>
              <w:bottom w:val="single" w:sz="6" w:space="0" w:color="37383B"/>
            </w:tcBorders>
          </w:tcPr>
          <w:p>
            <w:pPr>
              <w:pStyle w:val="Normal"/>
              <w:spacing w:before="0" w:after="160"/>
              <w:jc w:val="both"/>
              <w:rPr>
                <w:sz w:val="16"/>
                <w:szCs w:val="16"/>
              </w:rPr>
            </w:pPr>
            <w:r>
              <w:rPr>
                <w:sz w:val="16"/>
                <w:szCs w:val="16"/>
              </w:rPr>
              <w:t>1.366.141</w:t>
            </w:r>
          </w:p>
        </w:tc>
        <w:tc>
          <w:tcPr>
            <w:tcW w:w="849" w:type="dxa"/>
            <w:tcBorders>
              <w:bottom w:val="single" w:sz="6" w:space="0" w:color="37383B"/>
            </w:tcBorders>
          </w:tcPr>
          <w:p>
            <w:pPr>
              <w:pStyle w:val="Normal"/>
              <w:spacing w:before="0" w:after="160"/>
              <w:jc w:val="both"/>
              <w:rPr>
                <w:sz w:val="16"/>
                <w:szCs w:val="16"/>
              </w:rPr>
            </w:pPr>
            <w:r>
              <w:rPr>
                <w:sz w:val="16"/>
                <w:szCs w:val="16"/>
              </w:rPr>
              <w:t>15.714983</w:t>
            </w:r>
          </w:p>
        </w:tc>
        <w:tc>
          <w:tcPr>
            <w:tcW w:w="683" w:type="dxa"/>
            <w:tcBorders>
              <w:bottom w:val="single" w:sz="6" w:space="0" w:color="37383B"/>
            </w:tcBorders>
          </w:tcPr>
          <w:p>
            <w:pPr>
              <w:pStyle w:val="Normal"/>
              <w:spacing w:before="0" w:after="160"/>
              <w:jc w:val="both"/>
              <w:rPr>
                <w:sz w:val="16"/>
                <w:szCs w:val="16"/>
              </w:rPr>
            </w:pPr>
            <w:r>
              <w:rPr>
                <w:sz w:val="16"/>
                <w:szCs w:val="16"/>
              </w:rPr>
              <w:t>1.697.592</w:t>
            </w:r>
          </w:p>
        </w:tc>
        <w:tc>
          <w:tcPr>
            <w:tcW w:w="794" w:type="dxa"/>
            <w:tcBorders>
              <w:bottom w:val="single" w:sz="6" w:space="0" w:color="37383B"/>
            </w:tcBorders>
          </w:tcPr>
          <w:p>
            <w:pPr>
              <w:pStyle w:val="Normal"/>
              <w:spacing w:before="0" w:after="160"/>
              <w:jc w:val="both"/>
              <w:rPr>
                <w:sz w:val="16"/>
                <w:szCs w:val="16"/>
              </w:rPr>
            </w:pPr>
            <w:r>
              <w:rPr>
                <w:sz w:val="16"/>
                <w:szCs w:val="16"/>
              </w:rPr>
              <w:t>0.011784</w:t>
            </w:r>
          </w:p>
        </w:tc>
        <w:tc>
          <w:tcPr>
            <w:tcW w:w="794" w:type="dxa"/>
            <w:tcBorders>
              <w:bottom w:val="single" w:sz="6" w:space="0" w:color="37383B"/>
            </w:tcBorders>
          </w:tcPr>
          <w:p>
            <w:pPr>
              <w:pStyle w:val="Normal"/>
              <w:spacing w:before="0" w:after="160"/>
              <w:jc w:val="both"/>
              <w:rPr>
                <w:sz w:val="16"/>
                <w:szCs w:val="16"/>
              </w:rPr>
            </w:pPr>
            <w:r>
              <w:rPr>
                <w:sz w:val="16"/>
                <w:szCs w:val="16"/>
              </w:rPr>
              <w:t>24.26% pior</w:t>
            </w:r>
          </w:p>
        </w:tc>
        <w:tc>
          <w:tcPr>
            <w:tcW w:w="535" w:type="dxa"/>
            <w:tcBorders>
              <w:bottom w:val="single" w:sz="6" w:space="0" w:color="37383B"/>
            </w:tcBorders>
          </w:tcPr>
          <w:p>
            <w:pPr>
              <w:pStyle w:val="Normal"/>
              <w:spacing w:before="0" w:after="160"/>
              <w:jc w:val="both"/>
              <w:rPr>
                <w:sz w:val="16"/>
                <w:szCs w:val="16"/>
              </w:rPr>
            </w:pPr>
            <w:r>
              <w:rPr>
                <w:sz w:val="16"/>
                <w:szCs w:val="16"/>
              </w:rPr>
              <w:t>1.2426x</w:t>
            </w:r>
          </w:p>
        </w:tc>
        <w:tc>
          <w:tcPr>
            <w:tcW w:w="1108" w:type="dxa"/>
            <w:tcBorders>
              <w:bottom w:val="single" w:sz="6" w:space="0" w:color="37383B"/>
            </w:tcBorders>
          </w:tcPr>
          <w:p>
            <w:pPr>
              <w:pStyle w:val="Normal"/>
              <w:spacing w:before="0" w:after="160"/>
              <w:jc w:val="both"/>
              <w:rPr>
                <w:sz w:val="16"/>
                <w:szCs w:val="16"/>
              </w:rPr>
            </w:pPr>
            <w:r>
              <w:rPr>
                <w:sz w:val="16"/>
                <w:szCs w:val="16"/>
              </w:rPr>
              <w:t>1.333.58x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12</w:t>
            </w:r>
          </w:p>
        </w:tc>
        <w:tc>
          <w:tcPr>
            <w:tcW w:w="1070" w:type="dxa"/>
            <w:tcBorders>
              <w:bottom w:val="single" w:sz="6" w:space="0" w:color="37383B"/>
            </w:tcBorders>
          </w:tcPr>
          <w:p>
            <w:pPr>
              <w:pStyle w:val="Normal"/>
              <w:spacing w:before="0" w:after="160"/>
              <w:jc w:val="both"/>
              <w:rPr>
                <w:sz w:val="16"/>
                <w:szCs w:val="16"/>
              </w:rPr>
            </w:pPr>
            <w:r>
              <w:rPr>
                <w:sz w:val="16"/>
                <w:szCs w:val="16"/>
              </w:rPr>
              <w:t>479.001.600</w:t>
            </w:r>
          </w:p>
        </w:tc>
        <w:tc>
          <w:tcPr>
            <w:tcW w:w="914" w:type="dxa"/>
            <w:tcBorders>
              <w:bottom w:val="single" w:sz="6" w:space="0" w:color="37383B"/>
            </w:tcBorders>
          </w:tcPr>
          <w:p>
            <w:pPr>
              <w:pStyle w:val="Normal"/>
              <w:spacing w:before="0" w:after="160"/>
              <w:jc w:val="both"/>
              <w:rPr>
                <w:sz w:val="16"/>
                <w:szCs w:val="16"/>
              </w:rPr>
            </w:pPr>
            <w:r>
              <w:rPr>
                <w:sz w:val="16"/>
                <w:szCs w:val="16"/>
              </w:rPr>
              <w:t>144</w:t>
            </w:r>
          </w:p>
        </w:tc>
        <w:tc>
          <w:tcPr>
            <w:tcW w:w="1071" w:type="dxa"/>
            <w:tcBorders>
              <w:bottom w:val="single" w:sz="6" w:space="0" w:color="37383B"/>
            </w:tcBorders>
          </w:tcPr>
          <w:p>
            <w:pPr>
              <w:pStyle w:val="Normal"/>
              <w:spacing w:before="0" w:after="160"/>
              <w:jc w:val="both"/>
              <w:rPr>
                <w:sz w:val="16"/>
                <w:szCs w:val="16"/>
              </w:rPr>
            </w:pPr>
            <w:r>
              <w:rPr>
                <w:sz w:val="16"/>
                <w:szCs w:val="16"/>
              </w:rPr>
              <w:t>1.347.316</w:t>
            </w:r>
          </w:p>
        </w:tc>
        <w:tc>
          <w:tcPr>
            <w:tcW w:w="849" w:type="dxa"/>
            <w:tcBorders>
              <w:bottom w:val="single" w:sz="6" w:space="0" w:color="37383B"/>
            </w:tcBorders>
          </w:tcPr>
          <w:p>
            <w:pPr>
              <w:pStyle w:val="Normal"/>
              <w:spacing w:before="0" w:after="160"/>
              <w:jc w:val="both"/>
              <w:rPr>
                <w:sz w:val="16"/>
                <w:szCs w:val="16"/>
              </w:rPr>
            </w:pPr>
            <w:r>
              <w:rPr>
                <w:sz w:val="16"/>
                <w:szCs w:val="16"/>
              </w:rPr>
              <w:t>368.696655</w:t>
            </w:r>
          </w:p>
        </w:tc>
        <w:tc>
          <w:tcPr>
            <w:tcW w:w="683" w:type="dxa"/>
            <w:tcBorders>
              <w:bottom w:val="single" w:sz="6" w:space="0" w:color="37383B"/>
            </w:tcBorders>
          </w:tcPr>
          <w:p>
            <w:pPr>
              <w:pStyle w:val="Normal"/>
              <w:spacing w:before="0" w:after="160"/>
              <w:jc w:val="both"/>
              <w:rPr>
                <w:sz w:val="16"/>
                <w:szCs w:val="16"/>
              </w:rPr>
            </w:pPr>
            <w:r>
              <w:rPr>
                <w:sz w:val="16"/>
                <w:szCs w:val="16"/>
              </w:rPr>
              <w:t>1.607.211</w:t>
            </w:r>
          </w:p>
        </w:tc>
        <w:tc>
          <w:tcPr>
            <w:tcW w:w="794" w:type="dxa"/>
            <w:tcBorders>
              <w:bottom w:val="single" w:sz="6" w:space="0" w:color="37383B"/>
            </w:tcBorders>
          </w:tcPr>
          <w:p>
            <w:pPr>
              <w:pStyle w:val="Normal"/>
              <w:spacing w:before="0" w:after="160"/>
              <w:jc w:val="both"/>
              <w:rPr>
                <w:sz w:val="16"/>
                <w:szCs w:val="16"/>
              </w:rPr>
            </w:pPr>
            <w:r>
              <w:rPr>
                <w:sz w:val="16"/>
                <w:szCs w:val="16"/>
              </w:rPr>
              <w:t>0.019165</w:t>
            </w:r>
          </w:p>
        </w:tc>
        <w:tc>
          <w:tcPr>
            <w:tcW w:w="794" w:type="dxa"/>
            <w:tcBorders>
              <w:bottom w:val="single" w:sz="6" w:space="0" w:color="37383B"/>
            </w:tcBorders>
          </w:tcPr>
          <w:p>
            <w:pPr>
              <w:pStyle w:val="Normal"/>
              <w:spacing w:before="0" w:after="160"/>
              <w:jc w:val="both"/>
              <w:rPr>
                <w:sz w:val="16"/>
                <w:szCs w:val="16"/>
              </w:rPr>
            </w:pPr>
            <w:r>
              <w:rPr>
                <w:sz w:val="16"/>
                <w:szCs w:val="16"/>
              </w:rPr>
              <w:t>19.29% pior</w:t>
            </w:r>
          </w:p>
        </w:tc>
        <w:tc>
          <w:tcPr>
            <w:tcW w:w="535" w:type="dxa"/>
            <w:tcBorders>
              <w:bottom w:val="single" w:sz="6" w:space="0" w:color="37383B"/>
            </w:tcBorders>
          </w:tcPr>
          <w:p>
            <w:pPr>
              <w:pStyle w:val="Normal"/>
              <w:spacing w:before="0" w:after="160"/>
              <w:jc w:val="both"/>
              <w:rPr>
                <w:sz w:val="16"/>
                <w:szCs w:val="16"/>
              </w:rPr>
            </w:pPr>
            <w:r>
              <w:rPr>
                <w:sz w:val="16"/>
                <w:szCs w:val="16"/>
              </w:rPr>
              <w:t>1.1929x</w:t>
            </w:r>
          </w:p>
        </w:tc>
        <w:tc>
          <w:tcPr>
            <w:tcW w:w="1108" w:type="dxa"/>
            <w:tcBorders>
              <w:bottom w:val="single" w:sz="6" w:space="0" w:color="37383B"/>
            </w:tcBorders>
          </w:tcPr>
          <w:p>
            <w:pPr>
              <w:pStyle w:val="Normal"/>
              <w:spacing w:before="0" w:after="160"/>
              <w:jc w:val="both"/>
              <w:rPr>
                <w:sz w:val="16"/>
                <w:szCs w:val="16"/>
              </w:rPr>
            </w:pPr>
            <w:r>
              <w:rPr>
                <w:sz w:val="16"/>
                <w:szCs w:val="16"/>
              </w:rPr>
              <w:t>19.238.46x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13</w:t>
            </w:r>
          </w:p>
        </w:tc>
        <w:tc>
          <w:tcPr>
            <w:tcW w:w="1070" w:type="dxa"/>
            <w:tcBorders>
              <w:bottom w:val="single" w:sz="6" w:space="0" w:color="37383B"/>
            </w:tcBorders>
          </w:tcPr>
          <w:p>
            <w:pPr>
              <w:pStyle w:val="Normal"/>
              <w:spacing w:before="0" w:after="160"/>
              <w:jc w:val="both"/>
              <w:rPr>
                <w:sz w:val="16"/>
                <w:szCs w:val="16"/>
              </w:rPr>
            </w:pPr>
            <w:r>
              <w:rPr>
                <w:sz w:val="16"/>
                <w:szCs w:val="16"/>
              </w:rPr>
              <w:t>6.227.020.800</w:t>
            </w:r>
          </w:p>
        </w:tc>
        <w:tc>
          <w:tcPr>
            <w:tcW w:w="914" w:type="dxa"/>
            <w:tcBorders>
              <w:bottom w:val="single" w:sz="6" w:space="0" w:color="37383B"/>
            </w:tcBorders>
          </w:tcPr>
          <w:p>
            <w:pPr>
              <w:pStyle w:val="Normal"/>
              <w:spacing w:before="0" w:after="160"/>
              <w:jc w:val="both"/>
              <w:rPr>
                <w:sz w:val="16"/>
                <w:szCs w:val="16"/>
              </w:rPr>
            </w:pPr>
            <w:r>
              <w:rPr>
                <w:sz w:val="16"/>
                <w:szCs w:val="16"/>
              </w:rPr>
              <w:t>169</w:t>
            </w:r>
          </w:p>
        </w:tc>
        <w:tc>
          <w:tcPr>
            <w:tcW w:w="1071" w:type="dxa"/>
            <w:tcBorders>
              <w:bottom w:val="single" w:sz="6" w:space="0" w:color="37383B"/>
            </w:tcBorders>
          </w:tcPr>
          <w:p>
            <w:pPr>
              <w:pStyle w:val="Normal"/>
              <w:spacing w:before="0" w:after="160"/>
              <w:jc w:val="both"/>
              <w:rPr>
                <w:sz w:val="16"/>
                <w:szCs w:val="16"/>
              </w:rPr>
            </w:pPr>
            <w:r>
              <w:rPr>
                <w:sz w:val="16"/>
                <w:szCs w:val="16"/>
              </w:rPr>
              <w:t>1.326.012</w:t>
            </w:r>
          </w:p>
        </w:tc>
        <w:tc>
          <w:tcPr>
            <w:tcW w:w="849" w:type="dxa"/>
            <w:tcBorders>
              <w:bottom w:val="single" w:sz="6" w:space="0" w:color="37383B"/>
            </w:tcBorders>
          </w:tcPr>
          <w:p>
            <w:pPr>
              <w:pStyle w:val="Normal"/>
              <w:spacing w:before="0" w:after="160"/>
              <w:jc w:val="both"/>
              <w:rPr>
                <w:sz w:val="16"/>
                <w:szCs w:val="16"/>
              </w:rPr>
            </w:pPr>
            <w:r>
              <w:rPr>
                <w:sz w:val="16"/>
                <w:szCs w:val="16"/>
              </w:rPr>
              <w:t>2980.205073</w:t>
            </w:r>
          </w:p>
        </w:tc>
        <w:tc>
          <w:tcPr>
            <w:tcW w:w="683" w:type="dxa"/>
            <w:tcBorders>
              <w:bottom w:val="single" w:sz="6" w:space="0" w:color="37383B"/>
            </w:tcBorders>
          </w:tcPr>
          <w:p>
            <w:pPr>
              <w:pStyle w:val="Normal"/>
              <w:spacing w:before="0" w:after="160"/>
              <w:jc w:val="both"/>
              <w:rPr>
                <w:sz w:val="16"/>
                <w:szCs w:val="16"/>
              </w:rPr>
            </w:pPr>
            <w:r>
              <w:rPr>
                <w:sz w:val="16"/>
                <w:szCs w:val="16"/>
              </w:rPr>
              <w:t>1.468.980</w:t>
            </w:r>
          </w:p>
        </w:tc>
        <w:tc>
          <w:tcPr>
            <w:tcW w:w="794" w:type="dxa"/>
            <w:tcBorders>
              <w:bottom w:val="single" w:sz="6" w:space="0" w:color="37383B"/>
            </w:tcBorders>
          </w:tcPr>
          <w:p>
            <w:pPr>
              <w:pStyle w:val="Normal"/>
              <w:spacing w:before="0" w:after="160"/>
              <w:jc w:val="both"/>
              <w:rPr>
                <w:sz w:val="16"/>
                <w:szCs w:val="16"/>
              </w:rPr>
            </w:pPr>
            <w:r>
              <w:rPr>
                <w:sz w:val="16"/>
                <w:szCs w:val="16"/>
              </w:rPr>
              <w:t>0.015631</w:t>
            </w:r>
          </w:p>
        </w:tc>
        <w:tc>
          <w:tcPr>
            <w:tcW w:w="794" w:type="dxa"/>
            <w:tcBorders>
              <w:bottom w:val="single" w:sz="6" w:space="0" w:color="37383B"/>
            </w:tcBorders>
          </w:tcPr>
          <w:p>
            <w:pPr>
              <w:pStyle w:val="Normal"/>
              <w:spacing w:before="0" w:after="160"/>
              <w:jc w:val="both"/>
              <w:rPr>
                <w:sz w:val="16"/>
                <w:szCs w:val="16"/>
              </w:rPr>
            </w:pPr>
            <w:r>
              <w:rPr>
                <w:sz w:val="16"/>
                <w:szCs w:val="16"/>
              </w:rPr>
              <w:t>10.78% pior</w:t>
            </w:r>
          </w:p>
        </w:tc>
        <w:tc>
          <w:tcPr>
            <w:tcW w:w="535" w:type="dxa"/>
            <w:tcBorders>
              <w:bottom w:val="single" w:sz="6" w:space="0" w:color="37383B"/>
            </w:tcBorders>
          </w:tcPr>
          <w:p>
            <w:pPr>
              <w:pStyle w:val="Normal"/>
              <w:spacing w:before="0" w:after="160"/>
              <w:jc w:val="both"/>
              <w:rPr>
                <w:sz w:val="16"/>
                <w:szCs w:val="16"/>
              </w:rPr>
            </w:pPr>
            <w:r>
              <w:rPr>
                <w:sz w:val="16"/>
                <w:szCs w:val="16"/>
              </w:rPr>
              <w:t>1.1078x</w:t>
            </w:r>
          </w:p>
        </w:tc>
        <w:tc>
          <w:tcPr>
            <w:tcW w:w="1108" w:type="dxa"/>
            <w:tcBorders>
              <w:bottom w:val="single" w:sz="6" w:space="0" w:color="37383B"/>
            </w:tcBorders>
          </w:tcPr>
          <w:p>
            <w:pPr>
              <w:pStyle w:val="Normal"/>
              <w:spacing w:before="0" w:after="160"/>
              <w:jc w:val="both"/>
              <w:rPr>
                <w:sz w:val="16"/>
                <w:szCs w:val="16"/>
              </w:rPr>
            </w:pPr>
            <w:r>
              <w:rPr>
                <w:sz w:val="16"/>
                <w:szCs w:val="16"/>
              </w:rPr>
              <w:t>190.654.58x mais rápido</w:t>
            </w:r>
          </w:p>
        </w:tc>
      </w:tr>
      <w:tr>
        <w:trPr/>
        <w:tc>
          <w:tcPr>
            <w:tcW w:w="702" w:type="dxa"/>
            <w:tcBorders>
              <w:bottom w:val="single" w:sz="6" w:space="0" w:color="37383B"/>
            </w:tcBorders>
          </w:tcPr>
          <w:p>
            <w:pPr>
              <w:pStyle w:val="Normal"/>
              <w:spacing w:before="0" w:after="160"/>
              <w:jc w:val="both"/>
              <w:rPr>
                <w:sz w:val="16"/>
                <w:szCs w:val="16"/>
              </w:rPr>
            </w:pPr>
            <w:r>
              <w:rPr>
                <w:b/>
                <w:bCs/>
                <w:sz w:val="16"/>
                <w:szCs w:val="16"/>
              </w:rPr>
              <w:t>26</w:t>
            </w:r>
          </w:p>
        </w:tc>
        <w:tc>
          <w:tcPr>
            <w:tcW w:w="1070" w:type="dxa"/>
            <w:tcBorders>
              <w:bottom w:val="single" w:sz="6" w:space="0" w:color="37383B"/>
            </w:tcBorders>
          </w:tcPr>
          <w:p>
            <w:pPr>
              <w:pStyle w:val="Normal"/>
              <w:spacing w:before="0" w:after="160"/>
              <w:jc w:val="both"/>
              <w:rPr>
                <w:sz w:val="16"/>
                <w:szCs w:val="16"/>
              </w:rPr>
            </w:pPr>
            <w:r>
              <w:rPr>
                <w:sz w:val="16"/>
                <w:szCs w:val="16"/>
              </w:rPr>
              <w:t>403.291.461.126.605.635.584.000.000</w:t>
            </w:r>
          </w:p>
        </w:tc>
        <w:tc>
          <w:tcPr>
            <w:tcW w:w="914" w:type="dxa"/>
            <w:tcBorders>
              <w:bottom w:val="single" w:sz="6" w:space="0" w:color="37383B"/>
            </w:tcBorders>
          </w:tcPr>
          <w:p>
            <w:pPr>
              <w:pStyle w:val="Normal"/>
              <w:spacing w:before="0" w:after="160"/>
              <w:jc w:val="both"/>
              <w:rPr>
                <w:sz w:val="16"/>
                <w:szCs w:val="16"/>
              </w:rPr>
            </w:pPr>
            <w:r>
              <w:rPr>
                <w:sz w:val="16"/>
                <w:szCs w:val="16"/>
              </w:rPr>
              <w:t>676</w:t>
            </w:r>
          </w:p>
        </w:tc>
        <w:tc>
          <w:tcPr>
            <w:tcW w:w="1071" w:type="dxa"/>
            <w:tcBorders>
              <w:bottom w:val="single" w:sz="6" w:space="0" w:color="37383B"/>
            </w:tcBorders>
          </w:tcPr>
          <w:p>
            <w:pPr>
              <w:pStyle w:val="Normal"/>
              <w:spacing w:before="0" w:after="160"/>
              <w:jc w:val="both"/>
              <w:rPr>
                <w:sz w:val="16"/>
                <w:szCs w:val="16"/>
              </w:rPr>
            </w:pPr>
            <w:r>
              <w:rPr>
                <w:b/>
                <w:bCs/>
                <w:sz w:val="16"/>
                <w:szCs w:val="16"/>
              </w:rPr>
              <w:t>Inviável</w:t>
            </w:r>
          </w:p>
        </w:tc>
        <w:tc>
          <w:tcPr>
            <w:tcW w:w="849" w:type="dxa"/>
            <w:tcBorders>
              <w:bottom w:val="single" w:sz="6" w:space="0" w:color="37383B"/>
            </w:tcBorders>
          </w:tcPr>
          <w:p>
            <w:pPr>
              <w:pStyle w:val="Normal"/>
              <w:spacing w:before="0" w:after="160"/>
              <w:jc w:val="both"/>
              <w:rPr>
                <w:sz w:val="16"/>
                <w:szCs w:val="16"/>
              </w:rPr>
            </w:pPr>
            <w:r>
              <w:rPr>
                <w:sz w:val="16"/>
                <w:szCs w:val="16"/>
              </w:rPr>
              <w:t>-</w:t>
            </w:r>
          </w:p>
        </w:tc>
        <w:tc>
          <w:tcPr>
            <w:tcW w:w="683" w:type="dxa"/>
            <w:tcBorders>
              <w:bottom w:val="single" w:sz="6" w:space="0" w:color="37383B"/>
            </w:tcBorders>
          </w:tcPr>
          <w:p>
            <w:pPr>
              <w:pStyle w:val="Normal"/>
              <w:spacing w:before="0" w:after="160"/>
              <w:jc w:val="both"/>
              <w:rPr>
                <w:sz w:val="16"/>
                <w:szCs w:val="16"/>
              </w:rPr>
            </w:pPr>
            <w:r>
              <w:rPr>
                <w:sz w:val="16"/>
                <w:szCs w:val="16"/>
              </w:rPr>
              <w:t>2.361.634</w:t>
            </w:r>
          </w:p>
        </w:tc>
        <w:tc>
          <w:tcPr>
            <w:tcW w:w="794" w:type="dxa"/>
            <w:tcBorders>
              <w:bottom w:val="single" w:sz="6" w:space="0" w:color="37383B"/>
            </w:tcBorders>
          </w:tcPr>
          <w:p>
            <w:pPr>
              <w:pStyle w:val="Normal"/>
              <w:spacing w:before="0" w:after="160"/>
              <w:jc w:val="both"/>
              <w:rPr>
                <w:sz w:val="16"/>
                <w:szCs w:val="16"/>
              </w:rPr>
            </w:pPr>
            <w:r>
              <w:rPr>
                <w:sz w:val="16"/>
                <w:szCs w:val="16"/>
              </w:rPr>
              <w:t>0.136301</w:t>
            </w:r>
          </w:p>
        </w:tc>
        <w:tc>
          <w:tcPr>
            <w:tcW w:w="794" w:type="dxa"/>
            <w:tcBorders>
              <w:bottom w:val="single" w:sz="6" w:space="0" w:color="37383B"/>
            </w:tcBorders>
          </w:tcPr>
          <w:p>
            <w:pPr>
              <w:pStyle w:val="Normal"/>
              <w:spacing w:before="0" w:after="160"/>
              <w:jc w:val="both"/>
              <w:rPr>
                <w:sz w:val="16"/>
                <w:szCs w:val="16"/>
              </w:rPr>
            </w:pPr>
            <w:r>
              <w:rPr>
                <w:sz w:val="16"/>
                <w:szCs w:val="16"/>
              </w:rPr>
              <w:t>-</w:t>
            </w:r>
          </w:p>
        </w:tc>
        <w:tc>
          <w:tcPr>
            <w:tcW w:w="535" w:type="dxa"/>
            <w:tcBorders>
              <w:bottom w:val="single" w:sz="6" w:space="0" w:color="37383B"/>
            </w:tcBorders>
          </w:tcPr>
          <w:p>
            <w:pPr>
              <w:pStyle w:val="Normal"/>
              <w:spacing w:before="0" w:after="160"/>
              <w:jc w:val="both"/>
              <w:rPr>
                <w:sz w:val="16"/>
                <w:szCs w:val="16"/>
              </w:rPr>
            </w:pPr>
            <w:r>
              <w:rPr>
                <w:sz w:val="16"/>
                <w:szCs w:val="16"/>
              </w:rPr>
              <w:t>-</w:t>
            </w:r>
          </w:p>
        </w:tc>
        <w:tc>
          <w:tcPr>
            <w:tcW w:w="1108" w:type="dxa"/>
            <w:tcBorders>
              <w:bottom w:val="single" w:sz="6" w:space="0" w:color="37383B"/>
            </w:tcBorders>
          </w:tcPr>
          <w:p>
            <w:pPr>
              <w:pStyle w:val="Normal"/>
              <w:spacing w:before="0" w:after="160"/>
              <w:jc w:val="both"/>
              <w:rPr>
                <w:sz w:val="16"/>
                <w:szCs w:val="16"/>
              </w:rPr>
            </w:pPr>
            <w:r>
              <w:rPr>
                <w:sz w:val="16"/>
                <w:szCs w:val="16"/>
              </w:rPr>
              <w:t>-</w:t>
            </w:r>
          </w:p>
        </w:tc>
      </w:tr>
    </w:tbl>
    <w:p>
      <w:pPr>
        <w:pStyle w:val="Normal"/>
        <w:jc w:val="both"/>
        <w:rPr>
          <w:i/>
          <w:i/>
          <w:iCs/>
        </w:rPr>
      </w:pPr>
      <w:r>
        <w:rPr>
          <w:i/>
          <w:iCs/>
        </w:rPr>
      </w:r>
    </w:p>
    <w:p>
      <w:pPr>
        <w:pStyle w:val="Normal"/>
        <w:jc w:val="both"/>
        <w:rPr>
          <w:b/>
          <w:bCs/>
        </w:rPr>
      </w:pPr>
      <w:r>
        <w:rPr>
          <w:b/>
          <w:bCs/>
        </w:rPr>
        <w:t>Análise dos resultados</w:t>
      </w:r>
    </w:p>
    <w:p>
      <w:pPr>
        <w:pStyle w:val="Normal"/>
        <w:jc w:val="both"/>
        <w:rPr/>
      </w:pPr>
      <w:r>
        <w:rPr/>
        <w:t>A partir dos dados coletados, evidencia-se a relação de compromisso entre tempo e precisão:</w:t>
      </w:r>
    </w:p>
    <w:p>
      <w:pPr>
        <w:pStyle w:val="Normal"/>
        <w:numPr>
          <w:ilvl w:val="0"/>
          <w:numId w:val="3"/>
        </w:numPr>
        <w:jc w:val="both"/>
        <w:rPr/>
      </w:pPr>
      <w:r>
        <w:rPr>
          <w:b/>
          <w:bCs/>
          <w:i/>
          <w:iCs/>
        </w:rPr>
        <w:t>Datasets</w:t>
      </w:r>
      <w:r>
        <w:rPr>
          <w:b/>
          <w:bCs/>
        </w:rPr>
        <w:t xml:space="preserve"> Pequenos (n ≤ 12 cidades):</w:t>
      </w:r>
      <w:r>
        <w:rPr/>
        <w:t xml:space="preserve"> A Força Bruta é recomendada quando se precisa da solução exata, pois encontra a resposta rigorosamente ótima com tempos aceitáveis (variando de frações de milissegundo até cerca de 15 segundos para 11 cidades). Na menor instância (5 cidades), a Força Bruta chegou a ser mais veloz que o Aproximativo.</w:t>
      </w:r>
    </w:p>
    <w:p>
      <w:pPr>
        <w:pStyle w:val="Normal"/>
        <w:numPr>
          <w:ilvl w:val="0"/>
          <w:numId w:val="3"/>
        </w:numPr>
        <w:jc w:val="both"/>
        <w:rPr/>
      </w:pPr>
      <w:r>
        <w:rPr>
          <w:b/>
          <w:bCs/>
          <w:i/>
          <w:iCs/>
        </w:rPr>
        <w:t>Datasets</w:t>
      </w:r>
      <w:r>
        <w:rPr>
          <w:b/>
          <w:bCs/>
        </w:rPr>
        <w:t xml:space="preserve"> Grandes (Velocidade Crítica):</w:t>
      </w:r>
      <w:r>
        <w:rPr/>
        <w:t xml:space="preserve"> A partir de 12 e 13 cidades, o tempo da Força Bruta explode (368 segundos e 2.980 segundos, respectivamente). Para o </w:t>
      </w:r>
      <w:r>
        <w:rPr>
          <w:i/>
          <w:iCs/>
        </w:rPr>
        <w:t>dataset</w:t>
      </w:r>
      <w:r>
        <w:rPr/>
        <w:t xml:space="preserve"> de 26 cidades, o algoritmo exato mostrou-se completamente inviável. Nesses casos, o algoritmo Aproximativo ofereceu uma solução extremamente rápida (menos de 0,14 segundos para 26 cidades).</w:t>
      </w:r>
    </w:p>
    <w:p>
      <w:pPr>
        <w:pStyle w:val="Normal"/>
        <w:jc w:val="both"/>
        <w:rPr/>
      </w:pPr>
      <w:r>
        <w:rPr/>
        <w:t>O custo viável do algoritmo de força bruta para</w:t>
      </w:r>
      <w:r>
        <w:rPr>
          <w:i/>
          <w:iCs/>
        </w:rPr>
        <w:t xml:space="preserve"> datasets</w:t>
      </w:r>
      <w:r>
        <w:rPr>
          <w:i w:val="false"/>
          <w:iCs w:val="false"/>
        </w:rPr>
        <w:t xml:space="preserve"> pequenos e inviável para</w:t>
      </w:r>
      <w:r>
        <w:rPr>
          <w:i/>
          <w:iCs/>
        </w:rPr>
        <w:t xml:space="preserve"> datasets</w:t>
      </w:r>
      <w:r>
        <w:rPr>
          <w:i w:val="false"/>
          <w:iCs w:val="false"/>
        </w:rPr>
        <w:t xml:space="preserve"> grandes resultado neste presente trabalho vai de encontro </w:t>
      </w:r>
      <w:r>
        <w:rPr/>
        <w:t>aos resultados de Naher (2011). Para o autor, o processamento do algoritmo de força bruta de um único percurso leva cerca de um milissegundo enquanto que um percurso com 16 cidades levaria cerca de 20 anos para resolver um Problema do Caixeiro Viajante. Ademais, tempos de execução que não excedam uma hora só são possíveis para problemas com, no máximo, 10 cidades (NAHER, 2011). Os resultados do autor de no máximo 10 cidades são similares aos resultados do presente estudo os quais consideraram que o algoritmo de força bruta deixa de ser recomendado a partir de 13.</w:t>
      </w:r>
    </w:p>
    <w:p>
      <w:pPr>
        <w:pStyle w:val="Normal"/>
        <w:numPr>
          <w:ilvl w:val="0"/>
          <w:numId w:val="3"/>
        </w:numPr>
        <w:jc w:val="both"/>
        <w:rPr/>
      </w:pPr>
      <w:r>
        <w:rPr>
          <w:b/>
          <w:bCs/>
        </w:rPr>
        <w:t>Qualidade da Solução Heurística:</w:t>
      </w:r>
      <w:r>
        <w:rPr/>
        <w:t xml:space="preserve"> A garantia teórica de que a heurística entregaria um custo, no máximo, 2x maior que o ótimo foi corroborada com Soto (1999). O pior desvio ocorreu no cenário de 11 cidades (24,26% pior que o ótimo, ou razão de 1.2426x), demonstrando uma perda de qualidade considerada pequena diante do enorme ganho de velocidade.</w:t>
      </w:r>
    </w:p>
    <w:p>
      <w:pPr>
        <w:pStyle w:val="Normal"/>
        <w:jc w:val="both"/>
        <w:rPr/>
      </w:pPr>
      <w:r>
        <w:rPr>
          <w:b/>
          <w:bCs/>
        </w:rPr>
        <w:t>Aplicações Práticas:</w:t>
      </w:r>
      <w:r>
        <w:rPr/>
        <w:t xml:space="preserve"> Conforme a documentação, soluções eficientes para o PCV (como a heurística avaliada) são fundamentais em áreas como logística e roteamento de entrega, otimização de rotas turísticas, sequenciamento de genoma e planejamento de circuitos integrados.</w:t>
      </w:r>
    </w:p>
    <w:p>
      <w:pPr>
        <w:pStyle w:val="Normal"/>
        <w:jc w:val="both"/>
        <w:rPr>
          <w:b/>
          <w:bCs/>
        </w:rPr>
      </w:pPr>
      <w:r>
        <w:rPr>
          <w:b/>
          <w:bCs/>
        </w:rPr>
        <w:t>Conclusão</w:t>
      </w:r>
    </w:p>
    <w:p>
      <w:pPr>
        <w:pStyle w:val="Normal"/>
        <w:jc w:val="both"/>
        <w:rPr/>
      </w:pPr>
      <w:r>
        <w:rPr/>
        <w:t xml:space="preserve">Os experimentos validaram na prática a teoria da complexidade. A notação </w:t>
      </w:r>
      <w:r>
        <w:rPr>
          <w:b/>
          <w:bCs/>
        </w:rPr>
        <w:t>O(n!)</w:t>
      </w:r>
      <w:r>
        <w:rPr/>
        <w:t xml:space="preserve"> e sua explosão de operações demonstram claramente por que o algoritmo de Força Bruta se torna impraticável conforme os dados aumentam, inviabilizando testes com 26 cidades. Por outro lado, a complexidade polinomial </w:t>
      </w:r>
      <w:r>
        <w:rPr>
          <w:b/>
          <w:bCs/>
        </w:rPr>
        <w:t>O(n²)</w:t>
      </w:r>
      <w:r>
        <w:rPr/>
        <w:t>, com número de operações drasticamente menor, torna o algoritmo Aproximativo altamente escalável. Diante dos indicadores obtidos, conclui-se que abordagens heurísticas entregam uma excelente relação custo-benefício para problemas reais.</w:t>
      </w:r>
    </w:p>
    <w:p>
      <w:pPr>
        <w:pStyle w:val="Normal"/>
        <w:jc w:val="both"/>
        <w:rPr/>
      </w:pPr>
      <w:r>
        <w:rPr>
          <w:b/>
          <w:bCs/>
        </w:rPr>
        <w:t>Referências</w:t>
      </w:r>
    </w:p>
    <w:p>
      <w:pPr>
        <w:pStyle w:val="Normal"/>
        <w:jc w:val="both"/>
        <w:rPr/>
      </w:pPr>
      <w:r>
        <w:rPr/>
        <w:t xml:space="preserve">NÄHER, S. </w:t>
      </w:r>
      <w:r>
        <w:rPr>
          <w:b/>
          <w:bCs/>
        </w:rPr>
        <w:t>The Travelling Salesman Problem.</w:t>
      </w:r>
      <w:r>
        <w:rPr/>
        <w:t xml:space="preserve"> In: VÖCKING, B. et al. (Ed.). Algorithms Unplugged. Berlin: Springer, 2011. Disponível em: https://doi.org/10.1007/978-3-642-15328-0_40.</w:t>
      </w:r>
    </w:p>
    <w:p>
      <w:pPr>
        <w:pStyle w:val="Normal"/>
        <w:jc w:val="both"/>
        <w:rPr/>
      </w:pPr>
      <w:r>
        <w:rPr/>
        <w:t xml:space="preserve">PEER, D.; WIGDERSON, A. </w:t>
      </w:r>
      <w:r>
        <w:rPr>
          <w:b/>
          <w:bCs/>
        </w:rPr>
        <w:t>On Minimum Spanning Trees</w:t>
      </w:r>
      <w:r>
        <w:rPr/>
        <w:t>. [S. l.: s. n.], 1998. Disponível em: https://www.math.ias.edu/~avi/STUDENTS/dpthesis.pdf. Acesso em: 26 abr. 2026.</w:t>
      </w:r>
    </w:p>
    <w:p>
      <w:pPr>
        <w:pStyle w:val="Normal"/>
        <w:jc w:val="both"/>
        <w:rPr/>
      </w:pPr>
      <w:r>
        <w:rPr/>
        <w:t xml:space="preserve">SOTO, A. R. P. </w:t>
      </w:r>
      <w:r>
        <w:rPr>
          <w:b/>
          <w:bCs/>
        </w:rPr>
        <w:t xml:space="preserve">Algoritmos Aproximativos para o Problema do Caixeiro Viajante </w:t>
      </w:r>
      <w:r>
        <w:rPr/>
        <w:t>[Rio de Janeiro] 1999 XII, 87 pp., 29.7 em, (COPPE/UFRJ, M.Sc., Engenharia de Sistemas e Computação, 1999) Tese - Universidade Federal do Rio de Janeiro, COPPE. Disponível em: https://pesc.coppe.ufrj.br/uploadfile/publicacao/775.pdf. Acesso em: 26 abr. 2026.</w:t>
      </w:r>
    </w:p>
    <w:p>
      <w:pPr>
        <w:pStyle w:val="Normal"/>
        <w:spacing w:before="0" w:after="160"/>
        <w:jc w:val="both"/>
        <w:rPr/>
      </w:pPr>
      <w:r>
        <w:rPr/>
        <w:t xml:space="preserve">WU, B. Y.; CHAO, K. </w:t>
      </w:r>
      <w:r>
        <w:rPr>
          <w:b/>
          <w:bCs/>
        </w:rPr>
        <w:t>Spanning trees and optimization problems</w:t>
      </w:r>
      <w:r>
        <w:rPr/>
        <w:t>. Boca Raton, FL: Chapman &amp; Hall/CRC Press, 2004.</w:t>
      </w:r>
    </w:p>
    <w:sectPr>
      <w:footnotePr>
        <w:numFmt w:val="decimal"/>
      </w:footnote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uppressLineNumbers/>
        <w:spacing w:before="0" w:after="160"/>
        <w:ind w:hanging="340" w:left="340"/>
        <w:rPr/>
      </w:pPr>
      <w:r>
        <w:rPr>
          <w:rStyle w:val="FootnoteCharacters"/>
        </w:rPr>
        <w:footnoteRef/>
      </w:r>
      <w:r>
        <w:rPr/>
        <w:tab/>
        <w:t xml:space="preserve"> </w:t>
      </w:r>
      <w:r>
        <w:rPr/>
        <w:t>Nota sobre Variância e Média: O algoritmo aproximativo foi executado testando múltiplos nós iniciais. Na instância de 26 cidades, o melhor custo foi 2.361.634, o pior atingiu 3.072.529, com uma média de 2.759.594,11 e tempo médio por execução de aproximadamente 0,005s.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9e184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har"/>
    <w:uiPriority w:val="9"/>
    <w:semiHidden/>
    <w:unhideWhenUsed/>
    <w:qFormat/>
    <w:rsid w:val="009e184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har"/>
    <w:uiPriority w:val="9"/>
    <w:semiHidden/>
    <w:unhideWhenUsed/>
    <w:qFormat/>
    <w:rsid w:val="009e184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har"/>
    <w:uiPriority w:val="9"/>
    <w:semiHidden/>
    <w:unhideWhenUsed/>
    <w:qFormat/>
    <w:rsid w:val="009e184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har"/>
    <w:uiPriority w:val="9"/>
    <w:semiHidden/>
    <w:unhideWhenUsed/>
    <w:qFormat/>
    <w:rsid w:val="009e184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har"/>
    <w:uiPriority w:val="9"/>
    <w:semiHidden/>
    <w:unhideWhenUsed/>
    <w:qFormat/>
    <w:rsid w:val="009e184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9e184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9e184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9e184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har" w:customStyle="1">
    <w:name w:val="Título 1 Char"/>
    <w:basedOn w:val="DefaultParagraphFont"/>
    <w:link w:val="Heading1"/>
    <w:uiPriority w:val="9"/>
    <w:qFormat/>
    <w:rsid w:val="009e184e"/>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har" w:customStyle="1">
    <w:name w:val="Título 2 Char"/>
    <w:basedOn w:val="DefaultParagraphFont"/>
    <w:link w:val="Heading2"/>
    <w:uiPriority w:val="9"/>
    <w:semiHidden/>
    <w:qFormat/>
    <w:rsid w:val="009e184e"/>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har" w:customStyle="1">
    <w:name w:val="Título 3 Char"/>
    <w:basedOn w:val="DefaultParagraphFont"/>
    <w:link w:val="Heading3"/>
    <w:uiPriority w:val="9"/>
    <w:semiHidden/>
    <w:qFormat/>
    <w:rsid w:val="009e184e"/>
    <w:rPr>
      <w:rFonts w:eastAsia="" w:cs="" w:cstheme="majorBidi" w:eastAsiaTheme="majorEastAsia"/>
      <w:color w:themeColor="accent1" w:themeShade="bf" w:val="0F4761"/>
      <w:sz w:val="28"/>
      <w:szCs w:val="28"/>
    </w:rPr>
  </w:style>
  <w:style w:type="character" w:styleId="Ttulo4Char" w:customStyle="1">
    <w:name w:val="Título 4 Char"/>
    <w:basedOn w:val="DefaultParagraphFont"/>
    <w:link w:val="Heading4"/>
    <w:uiPriority w:val="9"/>
    <w:semiHidden/>
    <w:qFormat/>
    <w:rsid w:val="009e184e"/>
    <w:rPr>
      <w:rFonts w:eastAsia="" w:cs="" w:cstheme="majorBidi" w:eastAsiaTheme="majorEastAsia"/>
      <w:i/>
      <w:iCs/>
      <w:color w:themeColor="accent1" w:themeShade="bf" w:val="0F4761"/>
    </w:rPr>
  </w:style>
  <w:style w:type="character" w:styleId="Ttulo5Char" w:customStyle="1">
    <w:name w:val="Título 5 Char"/>
    <w:basedOn w:val="DefaultParagraphFont"/>
    <w:link w:val="Heading5"/>
    <w:uiPriority w:val="9"/>
    <w:semiHidden/>
    <w:qFormat/>
    <w:rsid w:val="009e184e"/>
    <w:rPr>
      <w:rFonts w:eastAsia="" w:cs="" w:cstheme="majorBidi" w:eastAsiaTheme="majorEastAsia"/>
      <w:color w:themeColor="accent1" w:themeShade="bf" w:val="0F4761"/>
    </w:rPr>
  </w:style>
  <w:style w:type="character" w:styleId="Ttulo6Char" w:customStyle="1">
    <w:name w:val="Título 6 Char"/>
    <w:basedOn w:val="DefaultParagraphFont"/>
    <w:link w:val="Heading6"/>
    <w:uiPriority w:val="9"/>
    <w:semiHidden/>
    <w:qFormat/>
    <w:rsid w:val="009e184e"/>
    <w:rPr>
      <w:rFonts w:eastAsia="" w:cs="" w:cstheme="majorBidi" w:eastAsiaTheme="majorEastAsia"/>
      <w:i/>
      <w:iCs/>
      <w:color w:themeColor="text1" w:themeTint="a6" w:val="595959"/>
    </w:rPr>
  </w:style>
  <w:style w:type="character" w:styleId="Ttulo7Char" w:customStyle="1">
    <w:name w:val="Título 7 Char"/>
    <w:basedOn w:val="DefaultParagraphFont"/>
    <w:link w:val="Heading7"/>
    <w:uiPriority w:val="9"/>
    <w:semiHidden/>
    <w:qFormat/>
    <w:rsid w:val="009e184e"/>
    <w:rPr>
      <w:rFonts w:eastAsia="" w:cs="" w:cstheme="majorBidi" w:eastAsiaTheme="majorEastAsia"/>
      <w:color w:themeColor="text1" w:themeTint="a6" w:val="595959"/>
    </w:rPr>
  </w:style>
  <w:style w:type="character" w:styleId="Ttulo8Char" w:customStyle="1">
    <w:name w:val="Título 8 Char"/>
    <w:basedOn w:val="DefaultParagraphFont"/>
    <w:link w:val="Heading8"/>
    <w:uiPriority w:val="9"/>
    <w:semiHidden/>
    <w:qFormat/>
    <w:rsid w:val="009e184e"/>
    <w:rPr>
      <w:rFonts w:eastAsia="" w:cs="" w:cstheme="majorBidi" w:eastAsiaTheme="majorEastAsia"/>
      <w:i/>
      <w:iCs/>
      <w:color w:themeColor="text1" w:themeTint="d8" w:val="272727"/>
    </w:rPr>
  </w:style>
  <w:style w:type="character" w:styleId="Ttulo9Char" w:customStyle="1">
    <w:name w:val="Título 9 Char"/>
    <w:basedOn w:val="DefaultParagraphFont"/>
    <w:link w:val="Heading9"/>
    <w:uiPriority w:val="9"/>
    <w:semiHidden/>
    <w:qFormat/>
    <w:rsid w:val="009e184e"/>
    <w:rPr>
      <w:rFonts w:eastAsia="" w:cs="" w:cstheme="majorBidi" w:eastAsiaTheme="majorEastAsia"/>
      <w:color w:themeColor="text1" w:themeTint="d8" w:val="272727"/>
    </w:rPr>
  </w:style>
  <w:style w:type="character" w:styleId="TtuloChar" w:customStyle="1">
    <w:name w:val="Título Char"/>
    <w:basedOn w:val="DefaultParagraphFont"/>
    <w:link w:val="Title"/>
    <w:uiPriority w:val="10"/>
    <w:qFormat/>
    <w:rsid w:val="009e184e"/>
    <w:rPr>
      <w:rFonts w:ascii="Aptos Display" w:hAnsi="Aptos Display"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link w:val="Subtitle"/>
    <w:uiPriority w:val="11"/>
    <w:qFormat/>
    <w:rsid w:val="009e184e"/>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9e184e"/>
    <w:rPr>
      <w:i/>
      <w:iCs/>
      <w:color w:themeColor="text1" w:themeTint="bf" w:val="404040"/>
    </w:rPr>
  </w:style>
  <w:style w:type="character" w:styleId="IntenseEmphasis">
    <w:name w:val="Intense Emphasis"/>
    <w:basedOn w:val="DefaultParagraphFont"/>
    <w:uiPriority w:val="21"/>
    <w:qFormat/>
    <w:rsid w:val="009e184e"/>
    <w:rPr>
      <w:i/>
      <w:iCs/>
      <w:color w:themeColor="accent1" w:themeShade="bf" w:val="0F4761"/>
    </w:rPr>
  </w:style>
  <w:style w:type="character" w:styleId="CitaoIntensaChar" w:customStyle="1">
    <w:name w:val="Citação Intensa Char"/>
    <w:basedOn w:val="DefaultParagraphFont"/>
    <w:link w:val="IntenseQuote"/>
    <w:uiPriority w:val="30"/>
    <w:qFormat/>
    <w:rsid w:val="009e184e"/>
    <w:rPr>
      <w:i/>
      <w:iCs/>
      <w:color w:themeColor="accent1" w:themeShade="bf" w:val="0F4761"/>
    </w:rPr>
  </w:style>
  <w:style w:type="character" w:styleId="IntenseReference">
    <w:name w:val="Intense Reference"/>
    <w:basedOn w:val="DefaultParagraphFont"/>
    <w:uiPriority w:val="32"/>
    <w:qFormat/>
    <w:rsid w:val="009e184e"/>
    <w:rPr>
      <w:b/>
      <w:bCs/>
      <w:smallCaps/>
      <w:color w:themeColor="accent1" w:themeShade="bf" w:val="0F4761"/>
      <w:spacing w:val="5"/>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har"/>
    <w:uiPriority w:val="10"/>
    <w:qFormat/>
    <w:rsid w:val="009e184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9e184e"/>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9e184e"/>
    <w:pPr>
      <w:spacing w:before="160" w:after="160"/>
      <w:jc w:val="center"/>
    </w:pPr>
    <w:rPr>
      <w:i/>
      <w:iCs/>
      <w:color w:themeColor="text1" w:themeTint="bf" w:val="404040"/>
    </w:rPr>
  </w:style>
  <w:style w:type="paragraph" w:styleId="ListParagraph">
    <w:name w:val="List Paragraph"/>
    <w:basedOn w:val="Normal"/>
    <w:uiPriority w:val="34"/>
    <w:qFormat/>
    <w:rsid w:val="009e184e"/>
    <w:pPr>
      <w:spacing w:before="0" w:after="160"/>
      <w:ind w:left="720"/>
      <w:contextualSpacing/>
    </w:pPr>
    <w:rPr/>
  </w:style>
  <w:style w:type="paragraph" w:styleId="IntenseQuote">
    <w:name w:val="Intense Quote"/>
    <w:basedOn w:val="Normal"/>
    <w:next w:val="Normal"/>
    <w:link w:val="CitaoIntensaChar"/>
    <w:uiPriority w:val="30"/>
    <w:qFormat/>
    <w:rsid w:val="009e184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80</TotalTime>
  <Application>LibreOffice/24.2.7.2$Linux_X86_64 LibreOffice_project/420$Build-2</Application>
  <AppVersion>15.0000</AppVersion>
  <Pages>6</Pages>
  <Words>1565</Words>
  <Characters>8771</Characters>
  <CharactersWithSpaces>10199</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2026-04-27T02:24:00Z</dcterms:created>
  <dc:creator>KATIA ABDALA</dc:creator>
  <dc:description/>
  <dc:language>en-US</dc:language>
  <cp:lastModifiedBy/>
  <dcterms:modified xsi:type="dcterms:W3CDTF">2026-04-27T14:55:14Z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