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83A" w:rsidRPr="00043E69" w:rsidRDefault="0079283A" w:rsidP="0079283A">
      <w:pPr>
        <w:ind w:left="720"/>
        <w:jc w:val="center"/>
        <w:rPr>
          <w:color w:val="000000" w:themeColor="text1"/>
          <w:sz w:val="32"/>
          <w:szCs w:val="32"/>
        </w:rPr>
      </w:pPr>
      <w:r w:rsidRPr="00043E69">
        <w:rPr>
          <w:color w:val="000000" w:themeColor="text1"/>
          <w:sz w:val="32"/>
          <w:szCs w:val="32"/>
        </w:rPr>
        <w:t xml:space="preserve">Cartridge speed: Partitioned </w:t>
      </w:r>
      <w:proofErr w:type="spellStart"/>
      <w:r w:rsidRPr="00043E69">
        <w:rPr>
          <w:color w:val="000000" w:themeColor="text1"/>
          <w:sz w:val="32"/>
          <w:szCs w:val="32"/>
        </w:rPr>
        <w:t>vs</w:t>
      </w:r>
      <w:proofErr w:type="spellEnd"/>
      <w:r w:rsidRPr="00043E69">
        <w:rPr>
          <w:color w:val="000000" w:themeColor="text1"/>
          <w:sz w:val="32"/>
          <w:szCs w:val="32"/>
        </w:rPr>
        <w:t xml:space="preserve"> Non-Partitioned</w:t>
      </w:r>
    </w:p>
    <w:p w:rsidR="0079283A" w:rsidRPr="00043E69" w:rsidRDefault="0079283A" w:rsidP="0079283A">
      <w:pPr>
        <w:spacing w:after="0"/>
        <w:ind w:left="720"/>
        <w:rPr>
          <w:color w:val="000000" w:themeColor="text1"/>
        </w:rPr>
      </w:pPr>
      <w:r w:rsidRPr="00043E69">
        <w:rPr>
          <w:color w:val="000000" w:themeColor="text1"/>
        </w:rPr>
        <w:t>P. Hindmarch</w:t>
      </w:r>
    </w:p>
    <w:p w:rsidR="0079283A" w:rsidRPr="00043E69" w:rsidRDefault="0079283A" w:rsidP="0079283A">
      <w:pPr>
        <w:spacing w:after="0"/>
        <w:ind w:left="720"/>
        <w:rPr>
          <w:color w:val="000000" w:themeColor="text1"/>
        </w:rPr>
      </w:pPr>
      <w:r w:rsidRPr="00043E69">
        <w:rPr>
          <w:color w:val="000000" w:themeColor="text1"/>
        </w:rPr>
        <w:t>9 Aug 2008</w:t>
      </w:r>
    </w:p>
    <w:p w:rsidR="0079283A" w:rsidRPr="00043E69" w:rsidRDefault="0079283A" w:rsidP="0079283A">
      <w:pPr>
        <w:ind w:left="720"/>
        <w:jc w:val="center"/>
        <w:rPr>
          <w:color w:val="000000" w:themeColor="text1"/>
        </w:rPr>
      </w:pPr>
    </w:p>
    <w:p w:rsidR="0079283A" w:rsidRPr="00043E69" w:rsidRDefault="0079283A" w:rsidP="0079283A">
      <w:pPr>
        <w:ind w:left="720"/>
        <w:rPr>
          <w:color w:val="000000" w:themeColor="text1"/>
        </w:rPr>
      </w:pPr>
      <w:r w:rsidRPr="00043E69">
        <w:rPr>
          <w:color w:val="000000" w:themeColor="text1"/>
        </w:rPr>
        <w:t>Here are some speed comparisons between a portioned and non-partitioned installation. The dataset was 350k reactions taken from a cut of the Array ELN database. I also confirmed that the number of hits was the same in each case.</w:t>
      </w:r>
    </w:p>
    <w:p w:rsidR="0079283A" w:rsidRPr="00043E69" w:rsidRDefault="0079283A" w:rsidP="0079283A">
      <w:pPr>
        <w:ind w:left="720"/>
        <w:rPr>
          <w:color w:val="000000" w:themeColor="text1"/>
        </w:rPr>
      </w:pPr>
      <w:r w:rsidRPr="00043E69">
        <w:rPr>
          <w:color w:val="000000" w:themeColor="text1"/>
        </w:rPr>
        <w:t xml:space="preserve">In most cases, the non-partitioned search is slower, but not by much. We would expect the differences to increase at the database gets bigger. The MW and MF searches are the same speed. </w:t>
      </w:r>
    </w:p>
    <w:p w:rsidR="0079283A" w:rsidRPr="00043E69" w:rsidRDefault="0079283A" w:rsidP="0079283A">
      <w:pPr>
        <w:ind w:left="720"/>
        <w:rPr>
          <w:color w:val="000000" w:themeColor="text1"/>
        </w:rPr>
      </w:pPr>
      <w:proofErr w:type="gramStart"/>
      <w:r w:rsidRPr="00043E69">
        <w:rPr>
          <w:color w:val="000000" w:themeColor="text1"/>
        </w:rPr>
        <w:t>One other thing to note.</w:t>
      </w:r>
      <w:proofErr w:type="gramEnd"/>
      <w:r w:rsidRPr="00043E69">
        <w:rPr>
          <w:color w:val="000000" w:themeColor="text1"/>
        </w:rPr>
        <w:t xml:space="preserve"> These are pure Cartridge searches. When doing a search in an application there is always an additional overhead due to preparation of the </w:t>
      </w:r>
      <w:proofErr w:type="spellStart"/>
      <w:r w:rsidRPr="00043E69">
        <w:rPr>
          <w:color w:val="000000" w:themeColor="text1"/>
        </w:rPr>
        <w:t>recordset</w:t>
      </w:r>
      <w:proofErr w:type="spellEnd"/>
      <w:r w:rsidRPr="00043E69">
        <w:rPr>
          <w:color w:val="000000" w:themeColor="text1"/>
        </w:rPr>
        <w:t xml:space="preserve"> for display – so the apparent speed difference may not be as visible as the actual differences in the structure search. This may explain why some customers are reporting that Partitioning is not giving the performance benefit that they were expecting. As mentioned below, it would be nice to get some metrics on performance via the ELN interface.</w:t>
      </w:r>
    </w:p>
    <w:p w:rsidR="0079283A" w:rsidRPr="00043E69" w:rsidRDefault="0079283A" w:rsidP="0079283A">
      <w:pPr>
        <w:ind w:left="720"/>
        <w:rPr>
          <w:color w:val="000000" w:themeColor="text1"/>
        </w:rPr>
      </w:pPr>
      <w:r w:rsidRPr="00043E69">
        <w:rPr>
          <w:color w:val="000000" w:themeColor="text1"/>
        </w:rPr>
        <w:t>Results are in seconds averaged over three runs.</w:t>
      </w:r>
    </w:p>
    <w:p w:rsidR="00D83663" w:rsidRPr="00043E69" w:rsidRDefault="00D83663">
      <w:pPr>
        <w:rPr>
          <w:color w:val="000000" w:themeColor="text1"/>
          <w:sz w:val="20"/>
          <w:szCs w:val="20"/>
        </w:rPr>
      </w:pPr>
    </w:p>
    <w:tbl>
      <w:tblPr>
        <w:tblStyle w:val="TableGrid"/>
        <w:tblW w:w="0" w:type="auto"/>
        <w:jc w:val="center"/>
        <w:tblCellMar>
          <w:top w:w="57" w:type="dxa"/>
          <w:bottom w:w="57" w:type="dxa"/>
        </w:tblCellMar>
        <w:tblLook w:val="04A0"/>
      </w:tblPr>
      <w:tblGrid>
        <w:gridCol w:w="559"/>
        <w:gridCol w:w="3716"/>
        <w:gridCol w:w="1220"/>
        <w:gridCol w:w="1167"/>
      </w:tblGrid>
      <w:tr w:rsidR="0079283A" w:rsidRPr="00043E69" w:rsidTr="0079283A">
        <w:trPr>
          <w:trHeight w:val="237"/>
          <w:jc w:val="center"/>
        </w:trPr>
        <w:tc>
          <w:tcPr>
            <w:tcW w:w="559" w:type="dxa"/>
          </w:tcPr>
          <w:p w:rsidR="0079283A" w:rsidRPr="00043E69" w:rsidRDefault="0079283A" w:rsidP="000B4725">
            <w:pPr>
              <w:rPr>
                <w:color w:val="000000" w:themeColor="text1"/>
                <w:sz w:val="20"/>
                <w:szCs w:val="20"/>
              </w:rPr>
            </w:pPr>
            <w:r w:rsidRPr="00043E69">
              <w:rPr>
                <w:color w:val="000000" w:themeColor="text1"/>
                <w:sz w:val="20"/>
                <w:szCs w:val="20"/>
              </w:rPr>
              <w:t>Test #</w:t>
            </w:r>
          </w:p>
        </w:tc>
        <w:tc>
          <w:tcPr>
            <w:tcW w:w="3716" w:type="dxa"/>
          </w:tcPr>
          <w:p w:rsidR="0079283A" w:rsidRPr="00043E69" w:rsidRDefault="0079283A" w:rsidP="000B4725">
            <w:pPr>
              <w:rPr>
                <w:color w:val="000000" w:themeColor="text1"/>
                <w:sz w:val="20"/>
                <w:szCs w:val="20"/>
              </w:rPr>
            </w:pPr>
            <w:r w:rsidRPr="00043E69">
              <w:rPr>
                <w:color w:val="000000" w:themeColor="text1"/>
                <w:sz w:val="20"/>
                <w:szCs w:val="20"/>
              </w:rPr>
              <w:t>Query</w:t>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Partitioning</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No Partitioning</w:t>
            </w:r>
          </w:p>
        </w:tc>
      </w:tr>
      <w:tr w:rsidR="0079283A" w:rsidRPr="00043E69" w:rsidTr="0079283A">
        <w:trPr>
          <w:trHeight w:val="1439"/>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1</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536494" cy="9271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6494" cy="927100"/>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13.96</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14.95</w:t>
            </w:r>
          </w:p>
        </w:tc>
      </w:tr>
      <w:tr w:rsidR="0079283A" w:rsidRPr="00043E69" w:rsidTr="0079283A">
        <w:trPr>
          <w:trHeight w:val="1469"/>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2</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525471" cy="908050"/>
                  <wp:effectExtent l="19050" t="0" r="7929"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5471" cy="908050"/>
                          </a:xfrm>
                          <a:prstGeom prst="rect">
                            <a:avLst/>
                          </a:prstGeom>
                          <a:noFill/>
                          <a:ln w="9525">
                            <a:noFill/>
                            <a:miter lim="800000"/>
                            <a:headEnd/>
                            <a:tailEnd/>
                          </a:ln>
                        </pic:spPr>
                      </pic:pic>
                    </a:graphicData>
                  </a:graphic>
                </wp:inline>
              </w:drawing>
            </w:r>
            <w:r w:rsidRPr="00043E69">
              <w:rPr>
                <w:color w:val="000000" w:themeColor="text1"/>
                <w:sz w:val="20"/>
                <w:szCs w:val="20"/>
              </w:rPr>
              <w:t>FULL=YES</w:t>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7.12</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8.45</w:t>
            </w:r>
          </w:p>
        </w:tc>
      </w:tr>
      <w:tr w:rsidR="0079283A" w:rsidRPr="00043E69" w:rsidTr="0079283A">
        <w:trPr>
          <w:trHeight w:val="1222"/>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3</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2203450" cy="786376"/>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03450" cy="786376"/>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1.90</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1.92</w:t>
            </w:r>
          </w:p>
        </w:tc>
      </w:tr>
      <w:tr w:rsidR="0079283A" w:rsidRPr="00043E69" w:rsidTr="0079283A">
        <w:trPr>
          <w:trHeight w:val="1015"/>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lastRenderedPageBreak/>
              <w:t>4</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2070100" cy="654246"/>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70100" cy="654246"/>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1.80</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2.14</w:t>
            </w:r>
          </w:p>
        </w:tc>
      </w:tr>
      <w:tr w:rsidR="0079283A" w:rsidRPr="00043E69" w:rsidTr="0079283A">
        <w:trPr>
          <w:trHeight w:val="2050"/>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5</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1170329" cy="132080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70329" cy="1320800"/>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0.23</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0.30</w:t>
            </w:r>
          </w:p>
        </w:tc>
      </w:tr>
      <w:tr w:rsidR="0079283A" w:rsidRPr="00043E69" w:rsidTr="0079283A">
        <w:trPr>
          <w:trHeight w:val="720"/>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6</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1498600" cy="468740"/>
                  <wp:effectExtent l="19050" t="0" r="635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498600" cy="468740"/>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0.23</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0.23</w:t>
            </w:r>
          </w:p>
        </w:tc>
      </w:tr>
      <w:tr w:rsidR="0079283A" w:rsidRPr="00043E69" w:rsidTr="0079283A">
        <w:trPr>
          <w:trHeight w:val="887"/>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7</w:t>
            </w:r>
          </w:p>
        </w:tc>
        <w:tc>
          <w:tcPr>
            <w:tcW w:w="3716" w:type="dxa"/>
          </w:tcPr>
          <w:p w:rsidR="0079283A" w:rsidRPr="00043E69" w:rsidRDefault="0079283A" w:rsidP="000B4725">
            <w:pPr>
              <w:rPr>
                <w:color w:val="000000" w:themeColor="text1"/>
                <w:sz w:val="20"/>
                <w:szCs w:val="20"/>
              </w:rPr>
            </w:pPr>
            <w:r w:rsidRPr="00043E69">
              <w:rPr>
                <w:noProof/>
                <w:color w:val="000000" w:themeColor="text1"/>
                <w:sz w:val="20"/>
                <w:szCs w:val="20"/>
              </w:rPr>
              <w:drawing>
                <wp:inline distT="0" distB="0" distL="0" distR="0">
                  <wp:extent cx="1612900" cy="57097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612900" cy="570975"/>
                          </a:xfrm>
                          <a:prstGeom prst="rect">
                            <a:avLst/>
                          </a:prstGeom>
                          <a:noFill/>
                          <a:ln w="9525">
                            <a:noFill/>
                            <a:miter lim="800000"/>
                            <a:headEnd/>
                            <a:tailEnd/>
                          </a:ln>
                        </pic:spPr>
                      </pic:pic>
                    </a:graphicData>
                  </a:graphic>
                </wp:inline>
              </w:drawing>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0.25</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0.25</w:t>
            </w:r>
          </w:p>
        </w:tc>
      </w:tr>
      <w:tr w:rsidR="0079283A" w:rsidRPr="00043E69" w:rsidTr="0079283A">
        <w:trPr>
          <w:trHeight w:val="246"/>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8</w:t>
            </w:r>
          </w:p>
        </w:tc>
        <w:tc>
          <w:tcPr>
            <w:tcW w:w="3716" w:type="dxa"/>
          </w:tcPr>
          <w:p w:rsidR="0079283A" w:rsidRPr="00043E69" w:rsidRDefault="0079283A" w:rsidP="000B4725">
            <w:pPr>
              <w:rPr>
                <w:noProof/>
                <w:color w:val="000000" w:themeColor="text1"/>
                <w:sz w:val="20"/>
                <w:szCs w:val="20"/>
              </w:rPr>
            </w:pPr>
            <w:r w:rsidRPr="00043E69">
              <w:rPr>
                <w:noProof/>
                <w:color w:val="000000" w:themeColor="text1"/>
                <w:sz w:val="20"/>
                <w:szCs w:val="20"/>
              </w:rPr>
              <w:t>Formula = CH5-6 O2-3</w:t>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0.2</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0.2</w:t>
            </w:r>
          </w:p>
        </w:tc>
      </w:tr>
      <w:tr w:rsidR="0079283A" w:rsidRPr="00043E69" w:rsidTr="0079283A">
        <w:trPr>
          <w:trHeight w:val="237"/>
          <w:jc w:val="center"/>
        </w:trPr>
        <w:tc>
          <w:tcPr>
            <w:tcW w:w="559" w:type="dxa"/>
          </w:tcPr>
          <w:p w:rsidR="0079283A" w:rsidRPr="00043E69" w:rsidRDefault="0079283A" w:rsidP="000B4725">
            <w:pPr>
              <w:rPr>
                <w:noProof/>
                <w:color w:val="000000" w:themeColor="text1"/>
                <w:sz w:val="20"/>
                <w:szCs w:val="20"/>
              </w:rPr>
            </w:pPr>
            <w:r w:rsidRPr="00043E69">
              <w:rPr>
                <w:noProof/>
                <w:color w:val="000000" w:themeColor="text1"/>
                <w:sz w:val="20"/>
                <w:szCs w:val="20"/>
              </w:rPr>
              <w:t>9</w:t>
            </w:r>
          </w:p>
        </w:tc>
        <w:tc>
          <w:tcPr>
            <w:tcW w:w="3716" w:type="dxa"/>
          </w:tcPr>
          <w:p w:rsidR="0079283A" w:rsidRPr="00043E69" w:rsidRDefault="0079283A" w:rsidP="000B4725">
            <w:pPr>
              <w:rPr>
                <w:noProof/>
                <w:color w:val="000000" w:themeColor="text1"/>
                <w:sz w:val="20"/>
                <w:szCs w:val="20"/>
              </w:rPr>
            </w:pPr>
            <w:r w:rsidRPr="00043E69">
              <w:rPr>
                <w:noProof/>
                <w:color w:val="000000" w:themeColor="text1"/>
                <w:sz w:val="20"/>
                <w:szCs w:val="20"/>
              </w:rPr>
              <w:t>MW = 120 to 130</w:t>
            </w:r>
          </w:p>
        </w:tc>
        <w:tc>
          <w:tcPr>
            <w:tcW w:w="1220" w:type="dxa"/>
          </w:tcPr>
          <w:p w:rsidR="0079283A" w:rsidRPr="00043E69" w:rsidRDefault="0079283A" w:rsidP="000B4725">
            <w:pPr>
              <w:rPr>
                <w:color w:val="000000" w:themeColor="text1"/>
                <w:sz w:val="20"/>
                <w:szCs w:val="20"/>
              </w:rPr>
            </w:pPr>
            <w:r w:rsidRPr="00043E69">
              <w:rPr>
                <w:color w:val="000000" w:themeColor="text1"/>
                <w:sz w:val="20"/>
                <w:szCs w:val="20"/>
              </w:rPr>
              <w:t>0.11</w:t>
            </w:r>
          </w:p>
        </w:tc>
        <w:tc>
          <w:tcPr>
            <w:tcW w:w="1167" w:type="dxa"/>
          </w:tcPr>
          <w:p w:rsidR="0079283A" w:rsidRPr="00043E69" w:rsidRDefault="0079283A" w:rsidP="000B4725">
            <w:pPr>
              <w:rPr>
                <w:color w:val="000000" w:themeColor="text1"/>
                <w:sz w:val="20"/>
                <w:szCs w:val="20"/>
              </w:rPr>
            </w:pPr>
            <w:r w:rsidRPr="00043E69">
              <w:rPr>
                <w:color w:val="000000" w:themeColor="text1"/>
                <w:sz w:val="20"/>
                <w:szCs w:val="20"/>
              </w:rPr>
              <w:t>0.11</w:t>
            </w:r>
          </w:p>
        </w:tc>
      </w:tr>
    </w:tbl>
    <w:p w:rsidR="0079283A" w:rsidRPr="00043E69" w:rsidRDefault="0079283A">
      <w:pPr>
        <w:rPr>
          <w:color w:val="000000" w:themeColor="text1"/>
          <w:sz w:val="20"/>
          <w:szCs w:val="20"/>
        </w:rPr>
      </w:pPr>
    </w:p>
    <w:p w:rsidR="0079283A" w:rsidRPr="00043E69" w:rsidRDefault="0079283A">
      <w:pPr>
        <w:rPr>
          <w:color w:val="000000" w:themeColor="text1"/>
          <w:sz w:val="20"/>
          <w:szCs w:val="20"/>
        </w:rPr>
      </w:pPr>
    </w:p>
    <w:p w:rsidR="0079283A" w:rsidRPr="00043E69" w:rsidRDefault="0079283A" w:rsidP="0079283A">
      <w:pPr>
        <w:rPr>
          <w:color w:val="000000" w:themeColor="text1"/>
        </w:rPr>
      </w:pPr>
      <w:r w:rsidRPr="00043E69">
        <w:rPr>
          <w:color w:val="000000" w:themeColor="text1"/>
        </w:rPr>
        <w:t xml:space="preserve">For the test #6, the </w:t>
      </w:r>
      <w:proofErr w:type="spellStart"/>
      <w:r w:rsidRPr="00043E69">
        <w:rPr>
          <w:color w:val="000000" w:themeColor="text1"/>
        </w:rPr>
        <w:t>spped</w:t>
      </w:r>
      <w:proofErr w:type="spellEnd"/>
      <w:r w:rsidRPr="00043E69">
        <w:rPr>
          <w:color w:val="000000" w:themeColor="text1"/>
        </w:rPr>
        <w:t xml:space="preserve"> is the same. This is because there are 0 hits. You would expect there to be no – or very little difference – when there are no hits found by screening and ABAS is not called. This also explains why the MF and MW searches were the same speed. </w:t>
      </w:r>
    </w:p>
    <w:p w:rsidR="0079283A" w:rsidRDefault="0079283A" w:rsidP="00043E69">
      <w:pPr>
        <w:pStyle w:val="Heading2"/>
      </w:pPr>
      <w:r w:rsidRPr="00043E69">
        <w:t>Further notes:</w:t>
      </w:r>
    </w:p>
    <w:p w:rsidR="0079283A" w:rsidRPr="00043E69" w:rsidRDefault="0079283A" w:rsidP="0079283A">
      <w:pPr>
        <w:spacing w:after="0"/>
        <w:rPr>
          <w:color w:val="000000" w:themeColor="text1"/>
        </w:rPr>
      </w:pPr>
      <w:r w:rsidRPr="00043E69">
        <w:rPr>
          <w:color w:val="000000" w:themeColor="text1"/>
          <w:sz w:val="24"/>
          <w:szCs w:val="24"/>
        </w:rPr>
        <w:t>There are a few issues to consider when considering the performance of our applications with respect to partitioning.</w:t>
      </w:r>
    </w:p>
    <w:p w:rsidR="0079283A" w:rsidRPr="00043E69" w:rsidRDefault="0079283A" w:rsidP="0079283A">
      <w:pPr>
        <w:spacing w:after="0"/>
        <w:ind w:left="720"/>
        <w:rPr>
          <w:color w:val="000000" w:themeColor="text1"/>
        </w:rPr>
      </w:pPr>
      <w:r w:rsidRPr="00043E69">
        <w:rPr>
          <w:color w:val="000000" w:themeColor="text1"/>
          <w:sz w:val="24"/>
          <w:szCs w:val="24"/>
        </w:rPr>
        <w:t> </w:t>
      </w:r>
    </w:p>
    <w:p w:rsidR="0079283A" w:rsidRPr="00043E69" w:rsidRDefault="0079283A" w:rsidP="0079283A">
      <w:pPr>
        <w:pStyle w:val="ListParagraph"/>
        <w:ind w:left="1440" w:hanging="360"/>
        <w:rPr>
          <w:rFonts w:asciiTheme="minorHAnsi" w:hAnsiTheme="minorHAnsi"/>
          <w:color w:val="000000" w:themeColor="text1"/>
        </w:rPr>
      </w:pPr>
      <w:r w:rsidRPr="00043E69">
        <w:rPr>
          <w:rFonts w:asciiTheme="minorHAnsi" w:hAnsiTheme="minorHAnsi"/>
          <w:color w:val="000000" w:themeColor="text1"/>
          <w:sz w:val="24"/>
          <w:szCs w:val="24"/>
        </w:rPr>
        <w:t>1)</w:t>
      </w:r>
      <w:r w:rsidRPr="00043E69">
        <w:rPr>
          <w:rFonts w:asciiTheme="minorHAnsi" w:hAnsiTheme="minorHAnsi"/>
          <w:color w:val="000000" w:themeColor="text1"/>
          <w:sz w:val="14"/>
          <w:szCs w:val="14"/>
        </w:rPr>
        <w:t xml:space="preserve">      </w:t>
      </w:r>
      <w:r w:rsidRPr="00043E69">
        <w:rPr>
          <w:rFonts w:asciiTheme="minorHAnsi" w:hAnsiTheme="minorHAnsi"/>
          <w:color w:val="000000" w:themeColor="text1"/>
          <w:sz w:val="24"/>
          <w:szCs w:val="24"/>
        </w:rPr>
        <w:t xml:space="preserve">The speed of the Cartridge is only part of the problem. The individual applications (ELN, </w:t>
      </w:r>
      <w:proofErr w:type="spellStart"/>
      <w:r w:rsidRPr="00043E69">
        <w:rPr>
          <w:rFonts w:asciiTheme="minorHAnsi" w:hAnsiTheme="minorHAnsi"/>
          <w:color w:val="000000" w:themeColor="text1"/>
          <w:sz w:val="24"/>
          <w:szCs w:val="24"/>
        </w:rPr>
        <w:t>Reg</w:t>
      </w:r>
      <w:proofErr w:type="spellEnd"/>
      <w:r w:rsidRPr="00043E69">
        <w:rPr>
          <w:rFonts w:asciiTheme="minorHAnsi" w:hAnsiTheme="minorHAnsi"/>
          <w:color w:val="000000" w:themeColor="text1"/>
          <w:sz w:val="24"/>
          <w:szCs w:val="24"/>
        </w:rPr>
        <w:t xml:space="preserve"> etc) also need to be optimized properly to fully utilize partitioning for their non-chemical data (</w:t>
      </w:r>
      <w:proofErr w:type="spellStart"/>
      <w:r w:rsidRPr="00043E69">
        <w:rPr>
          <w:rFonts w:asciiTheme="minorHAnsi" w:hAnsiTheme="minorHAnsi"/>
          <w:color w:val="000000" w:themeColor="text1"/>
          <w:sz w:val="24"/>
          <w:szCs w:val="24"/>
        </w:rPr>
        <w:t>DocStore</w:t>
      </w:r>
      <w:proofErr w:type="spellEnd"/>
      <w:r w:rsidRPr="00043E69">
        <w:rPr>
          <w:rFonts w:asciiTheme="minorHAnsi" w:hAnsiTheme="minorHAnsi"/>
          <w:color w:val="000000" w:themeColor="text1"/>
          <w:sz w:val="24"/>
          <w:szCs w:val="24"/>
        </w:rPr>
        <w:t>, experiment data etc). This needs to be separately tested and metrics produced.</w:t>
      </w:r>
    </w:p>
    <w:p w:rsidR="0079283A" w:rsidRPr="00043E69" w:rsidRDefault="0079283A" w:rsidP="0079283A">
      <w:pPr>
        <w:pStyle w:val="ListParagraph"/>
        <w:ind w:left="1440" w:hanging="360"/>
        <w:rPr>
          <w:rFonts w:asciiTheme="minorHAnsi" w:hAnsiTheme="minorHAnsi"/>
          <w:color w:val="000000" w:themeColor="text1"/>
        </w:rPr>
      </w:pPr>
      <w:r w:rsidRPr="00043E69">
        <w:rPr>
          <w:rFonts w:asciiTheme="minorHAnsi" w:hAnsiTheme="minorHAnsi"/>
          <w:color w:val="000000" w:themeColor="text1"/>
          <w:sz w:val="24"/>
          <w:szCs w:val="24"/>
        </w:rPr>
        <w:t>2)</w:t>
      </w:r>
      <w:r w:rsidRPr="00043E69">
        <w:rPr>
          <w:rFonts w:asciiTheme="minorHAnsi" w:hAnsiTheme="minorHAnsi"/>
          <w:color w:val="000000" w:themeColor="text1"/>
          <w:sz w:val="14"/>
          <w:szCs w:val="14"/>
        </w:rPr>
        <w:t xml:space="preserve">      </w:t>
      </w:r>
      <w:r w:rsidRPr="00043E69">
        <w:rPr>
          <w:rFonts w:asciiTheme="minorHAnsi" w:hAnsiTheme="minorHAnsi"/>
          <w:color w:val="000000" w:themeColor="text1"/>
          <w:sz w:val="24"/>
          <w:szCs w:val="24"/>
        </w:rPr>
        <w:t xml:space="preserve">Installing the Partitioning option doesn’t automatically make a database application faster. It can make things worse if not done properly. There are huge documents out there on how schemas should be designed and optimized for partitioning. </w:t>
      </w:r>
    </w:p>
    <w:p w:rsidR="0079283A" w:rsidRPr="00043E69" w:rsidRDefault="0079283A" w:rsidP="0079283A">
      <w:pPr>
        <w:pStyle w:val="ListParagraph"/>
        <w:ind w:left="1440" w:hanging="360"/>
        <w:rPr>
          <w:rFonts w:asciiTheme="minorHAnsi" w:hAnsiTheme="minorHAnsi"/>
          <w:color w:val="000000" w:themeColor="text1"/>
        </w:rPr>
      </w:pPr>
      <w:r w:rsidRPr="00043E69">
        <w:rPr>
          <w:rFonts w:asciiTheme="minorHAnsi" w:hAnsiTheme="minorHAnsi"/>
          <w:color w:val="000000" w:themeColor="text1"/>
          <w:sz w:val="24"/>
          <w:szCs w:val="24"/>
        </w:rPr>
        <w:t>3)</w:t>
      </w:r>
      <w:r w:rsidRPr="00043E69">
        <w:rPr>
          <w:rFonts w:asciiTheme="minorHAnsi" w:hAnsiTheme="minorHAnsi"/>
          <w:color w:val="000000" w:themeColor="text1"/>
          <w:sz w:val="14"/>
          <w:szCs w:val="14"/>
        </w:rPr>
        <w:t xml:space="preserve">      </w:t>
      </w:r>
      <w:r w:rsidRPr="00043E69">
        <w:rPr>
          <w:rFonts w:asciiTheme="minorHAnsi" w:hAnsiTheme="minorHAnsi"/>
          <w:color w:val="000000" w:themeColor="text1"/>
          <w:sz w:val="24"/>
          <w:szCs w:val="24"/>
        </w:rPr>
        <w:t>When the Cartridge detects Partitioning is present, it will automatically create partitioned tables. There is no way to override this on a per-index basis – which does make testing more complicated than it could be.</w:t>
      </w:r>
    </w:p>
    <w:p w:rsidR="0079283A" w:rsidRPr="00043E69" w:rsidRDefault="0079283A" w:rsidP="00043E69">
      <w:pPr>
        <w:pStyle w:val="Heading2"/>
      </w:pPr>
      <w:r w:rsidRPr="00043E69">
        <w:lastRenderedPageBreak/>
        <w:t>Testing:</w:t>
      </w:r>
    </w:p>
    <w:p w:rsidR="0079283A" w:rsidRPr="00043E69" w:rsidRDefault="0079283A">
      <w:pPr>
        <w:rPr>
          <w:color w:val="000000" w:themeColor="text1"/>
          <w:sz w:val="20"/>
          <w:szCs w:val="20"/>
        </w:rPr>
      </w:pPr>
      <w:r w:rsidRPr="00043E69">
        <w:rPr>
          <w:color w:val="000000" w:themeColor="text1"/>
          <w:sz w:val="20"/>
          <w:szCs w:val="20"/>
        </w:rPr>
        <w:t>In order to test partitioning against non-partitioning configuration on the same hardware, a workaround was used to simulate a non-partitioned Oracle instance</w:t>
      </w:r>
    </w:p>
    <w:p w:rsidR="0079283A" w:rsidRPr="00043E69" w:rsidRDefault="0079283A" w:rsidP="0079283A">
      <w:pPr>
        <w:pStyle w:val="ListParagraph"/>
        <w:numPr>
          <w:ilvl w:val="0"/>
          <w:numId w:val="1"/>
        </w:numPr>
        <w:rPr>
          <w:color w:val="000000" w:themeColor="text1"/>
          <w:sz w:val="20"/>
          <w:szCs w:val="20"/>
        </w:rPr>
      </w:pPr>
      <w:r w:rsidRPr="00043E69">
        <w:rPr>
          <w:color w:val="000000" w:themeColor="text1"/>
          <w:sz w:val="20"/>
          <w:szCs w:val="20"/>
        </w:rPr>
        <w:t>Install Oracle Cartridge (“</w:t>
      </w:r>
      <w:proofErr w:type="spellStart"/>
      <w:r w:rsidRPr="00043E69">
        <w:rPr>
          <w:color w:val="000000" w:themeColor="text1"/>
          <w:sz w:val="20"/>
          <w:szCs w:val="20"/>
        </w:rPr>
        <w:t>CSCartridge</w:t>
      </w:r>
      <w:proofErr w:type="spellEnd"/>
      <w:r w:rsidRPr="00043E69">
        <w:rPr>
          <w:color w:val="000000" w:themeColor="text1"/>
          <w:sz w:val="20"/>
          <w:szCs w:val="20"/>
        </w:rPr>
        <w:t>”) using all of the default options on an Oracle 10R2 system with Partitioning enabled</w:t>
      </w:r>
    </w:p>
    <w:p w:rsidR="0079283A" w:rsidRPr="00043E69" w:rsidRDefault="0079283A" w:rsidP="0079283A">
      <w:pPr>
        <w:pStyle w:val="ListParagraph"/>
        <w:numPr>
          <w:ilvl w:val="0"/>
          <w:numId w:val="1"/>
        </w:numPr>
        <w:rPr>
          <w:color w:val="000000" w:themeColor="text1"/>
          <w:sz w:val="20"/>
          <w:szCs w:val="20"/>
        </w:rPr>
      </w:pPr>
      <w:r w:rsidRPr="00043E69">
        <w:rPr>
          <w:color w:val="000000" w:themeColor="text1"/>
          <w:sz w:val="20"/>
          <w:szCs w:val="20"/>
        </w:rPr>
        <w:t xml:space="preserve">Install a second </w:t>
      </w:r>
      <w:proofErr w:type="spellStart"/>
      <w:r w:rsidRPr="00043E69">
        <w:rPr>
          <w:color w:val="000000" w:themeColor="text1"/>
          <w:sz w:val="20"/>
          <w:szCs w:val="20"/>
        </w:rPr>
        <w:t>Crtridge</w:t>
      </w:r>
      <w:proofErr w:type="spellEnd"/>
      <w:r w:rsidRPr="00043E69">
        <w:rPr>
          <w:color w:val="000000" w:themeColor="text1"/>
          <w:sz w:val="20"/>
          <w:szCs w:val="20"/>
        </w:rPr>
        <w:t xml:space="preserve"> instance </w:t>
      </w:r>
      <w:proofErr w:type="spellStart"/>
      <w:r w:rsidRPr="00043E69">
        <w:rPr>
          <w:color w:val="000000" w:themeColor="text1"/>
          <w:sz w:val="20"/>
          <w:szCs w:val="20"/>
        </w:rPr>
        <w:t>along side</w:t>
      </w:r>
      <w:proofErr w:type="spellEnd"/>
      <w:r w:rsidRPr="00043E69">
        <w:rPr>
          <w:color w:val="000000" w:themeColor="text1"/>
          <w:sz w:val="20"/>
          <w:szCs w:val="20"/>
        </w:rPr>
        <w:t xml:space="preserve"> the first with a different name, </w:t>
      </w:r>
      <w:proofErr w:type="spellStart"/>
      <w:r w:rsidRPr="00043E69">
        <w:rPr>
          <w:color w:val="000000" w:themeColor="text1"/>
          <w:sz w:val="20"/>
          <w:szCs w:val="20"/>
        </w:rPr>
        <w:t>e.g</w:t>
      </w:r>
      <w:proofErr w:type="spellEnd"/>
      <w:r w:rsidRPr="00043E69">
        <w:rPr>
          <w:color w:val="000000" w:themeColor="text1"/>
          <w:sz w:val="20"/>
          <w:szCs w:val="20"/>
        </w:rPr>
        <w:t xml:space="preserve"> </w:t>
      </w:r>
      <w:proofErr w:type="spellStart"/>
      <w:r w:rsidRPr="00043E69">
        <w:rPr>
          <w:color w:val="000000" w:themeColor="text1"/>
          <w:sz w:val="20"/>
          <w:szCs w:val="20"/>
        </w:rPr>
        <w:t>CsCartridgeNoP</w:t>
      </w:r>
      <w:proofErr w:type="spellEnd"/>
    </w:p>
    <w:p w:rsidR="0079283A" w:rsidRPr="00043E69" w:rsidRDefault="00B433D5" w:rsidP="0079283A">
      <w:pPr>
        <w:pStyle w:val="ListParagraph"/>
        <w:numPr>
          <w:ilvl w:val="0"/>
          <w:numId w:val="1"/>
        </w:numPr>
        <w:rPr>
          <w:color w:val="000000" w:themeColor="text1"/>
          <w:sz w:val="20"/>
          <w:szCs w:val="20"/>
        </w:rPr>
      </w:pPr>
      <w:r w:rsidRPr="00043E69">
        <w:rPr>
          <w:color w:val="000000" w:themeColor="text1"/>
          <w:sz w:val="20"/>
          <w:szCs w:val="20"/>
        </w:rPr>
        <w:t xml:space="preserve">Edit the PL/SQL function </w:t>
      </w:r>
      <w:proofErr w:type="spellStart"/>
      <w:r w:rsidRPr="00043E69">
        <w:rPr>
          <w:color w:val="000000" w:themeColor="text1"/>
          <w:sz w:val="20"/>
          <w:szCs w:val="20"/>
        </w:rPr>
        <w:t>CSCARTRIDGENOP.IsPartitioning</w:t>
      </w:r>
      <w:proofErr w:type="spellEnd"/>
      <w:r w:rsidRPr="00043E69">
        <w:rPr>
          <w:color w:val="000000" w:themeColor="text1"/>
          <w:sz w:val="20"/>
          <w:szCs w:val="20"/>
        </w:rPr>
        <w:t xml:space="preserve"> to always return false. This fools the Cartridge into thinking that Partitioning is not enabled</w:t>
      </w:r>
    </w:p>
    <w:p w:rsidR="00B433D5" w:rsidRPr="00043E69" w:rsidRDefault="00B433D5" w:rsidP="00B433D5">
      <w:pPr>
        <w:ind w:left="360"/>
        <w:rPr>
          <w:color w:val="000000" w:themeColor="text1"/>
          <w:sz w:val="20"/>
          <w:szCs w:val="20"/>
        </w:rPr>
      </w:pP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CREATE OR REPLACE FUNCTION </w:t>
      </w:r>
      <w:proofErr w:type="spellStart"/>
      <w:r w:rsidRPr="00043E69">
        <w:rPr>
          <w:rFonts w:ascii="Courier New" w:hAnsi="Courier New" w:cs="Courier New"/>
          <w:color w:val="000000" w:themeColor="text1"/>
          <w:sz w:val="16"/>
          <w:szCs w:val="16"/>
        </w:rPr>
        <w:t>CSCARTRIDGENOP.IsPartitioning</w:t>
      </w:r>
      <w:proofErr w:type="spellEnd"/>
      <w:r w:rsidRPr="00043E69">
        <w:rPr>
          <w:rFonts w:ascii="Courier New" w:hAnsi="Courier New" w:cs="Courier New"/>
          <w:color w:val="000000" w:themeColor="text1"/>
          <w:sz w:val="16"/>
          <w:szCs w:val="16"/>
        </w:rPr>
        <w:t xml:space="preserve"> RETURN NUMBER AS </w:t>
      </w:r>
    </w:p>
    <w:p w:rsidR="00B433D5" w:rsidRPr="00043E69" w:rsidRDefault="00B433D5" w:rsidP="00B433D5">
      <w:pPr>
        <w:spacing w:after="0"/>
        <w:ind w:left="357"/>
        <w:rPr>
          <w:rFonts w:ascii="Courier New" w:hAnsi="Courier New" w:cs="Courier New"/>
          <w:color w:val="000000" w:themeColor="text1"/>
          <w:sz w:val="16"/>
          <w:szCs w:val="16"/>
        </w:rPr>
      </w:pPr>
      <w:proofErr w:type="gramStart"/>
      <w:r w:rsidRPr="00043E69">
        <w:rPr>
          <w:rFonts w:ascii="Courier New" w:hAnsi="Courier New" w:cs="Courier New"/>
          <w:color w:val="000000" w:themeColor="text1"/>
          <w:sz w:val="16"/>
          <w:szCs w:val="16"/>
        </w:rPr>
        <w:t>partitioning</w:t>
      </w:r>
      <w:proofErr w:type="gramEnd"/>
      <w:r w:rsidRPr="00043E69">
        <w:rPr>
          <w:rFonts w:ascii="Courier New" w:hAnsi="Courier New" w:cs="Courier New"/>
          <w:color w:val="000000" w:themeColor="text1"/>
          <w:sz w:val="16"/>
          <w:szCs w:val="16"/>
        </w:rPr>
        <w:t xml:space="preserve"> VARCHAR2(100);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BEGIN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EXECUTE IMMEDIATE 'SELECT VALUE FROM SYS.V_$OPTION WHERE PARAMETER = ' || </w:t>
      </w:r>
      <w:proofErr w:type="spellStart"/>
      <w:proofErr w:type="gramStart"/>
      <w:r w:rsidRPr="00043E69">
        <w:rPr>
          <w:rFonts w:ascii="Courier New" w:hAnsi="Courier New" w:cs="Courier New"/>
          <w:color w:val="000000" w:themeColor="text1"/>
          <w:sz w:val="16"/>
          <w:szCs w:val="16"/>
        </w:rPr>
        <w:t>AddQuotes</w:t>
      </w:r>
      <w:proofErr w:type="spellEnd"/>
      <w:r w:rsidRPr="00043E69">
        <w:rPr>
          <w:rFonts w:ascii="Courier New" w:hAnsi="Courier New" w:cs="Courier New"/>
          <w:color w:val="000000" w:themeColor="text1"/>
          <w:sz w:val="16"/>
          <w:szCs w:val="16"/>
        </w:rPr>
        <w:t>(</w:t>
      </w:r>
      <w:proofErr w:type="gramEnd"/>
      <w:r w:rsidRPr="00043E69">
        <w:rPr>
          <w:rFonts w:ascii="Courier New" w:hAnsi="Courier New" w:cs="Courier New"/>
          <w:color w:val="000000" w:themeColor="text1"/>
          <w:sz w:val="16"/>
          <w:szCs w:val="16"/>
        </w:rPr>
        <w:t xml:space="preserve">'Partitioning') INTO partitioning;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w:t>
      </w:r>
      <w:proofErr w:type="gramStart"/>
      <w:r w:rsidRPr="00043E69">
        <w:rPr>
          <w:rFonts w:ascii="Courier New" w:hAnsi="Courier New" w:cs="Courier New"/>
          <w:color w:val="000000" w:themeColor="text1"/>
          <w:sz w:val="16"/>
          <w:szCs w:val="16"/>
        </w:rPr>
        <w:t>if</w:t>
      </w:r>
      <w:proofErr w:type="gramEnd"/>
      <w:r w:rsidRPr="00043E69">
        <w:rPr>
          <w:rFonts w:ascii="Courier New" w:hAnsi="Courier New" w:cs="Courier New"/>
          <w:color w:val="000000" w:themeColor="text1"/>
          <w:sz w:val="16"/>
          <w:szCs w:val="16"/>
        </w:rPr>
        <w:t xml:space="preserve"> partitioning = 'TRUE' then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w:t>
      </w:r>
      <w:proofErr w:type="gramStart"/>
      <w:r w:rsidRPr="00043E69">
        <w:rPr>
          <w:rFonts w:ascii="Courier New" w:hAnsi="Courier New" w:cs="Courier New"/>
          <w:color w:val="000000" w:themeColor="text1"/>
          <w:sz w:val="16"/>
          <w:szCs w:val="16"/>
        </w:rPr>
        <w:t>return</w:t>
      </w:r>
      <w:proofErr w:type="gramEnd"/>
      <w:r w:rsidRPr="00043E69">
        <w:rPr>
          <w:rFonts w:ascii="Courier New" w:hAnsi="Courier New" w:cs="Courier New"/>
          <w:color w:val="000000" w:themeColor="text1"/>
          <w:sz w:val="16"/>
          <w:szCs w:val="16"/>
        </w:rPr>
        <w:t xml:space="preserve"> 0;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w:t>
      </w:r>
      <w:proofErr w:type="gramStart"/>
      <w:r w:rsidRPr="00043E69">
        <w:rPr>
          <w:rFonts w:ascii="Courier New" w:hAnsi="Courier New" w:cs="Courier New"/>
          <w:color w:val="000000" w:themeColor="text1"/>
          <w:sz w:val="16"/>
          <w:szCs w:val="16"/>
        </w:rPr>
        <w:t>else</w:t>
      </w:r>
      <w:proofErr w:type="gramEnd"/>
      <w:r w:rsidRPr="00043E69">
        <w:rPr>
          <w:rFonts w:ascii="Courier New" w:hAnsi="Courier New" w:cs="Courier New"/>
          <w:color w:val="000000" w:themeColor="text1"/>
          <w:sz w:val="16"/>
          <w:szCs w:val="16"/>
        </w:rPr>
        <w:t xml:space="preserve">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w:t>
      </w:r>
      <w:proofErr w:type="gramStart"/>
      <w:r w:rsidRPr="00043E69">
        <w:rPr>
          <w:rFonts w:ascii="Courier New" w:hAnsi="Courier New" w:cs="Courier New"/>
          <w:color w:val="000000" w:themeColor="text1"/>
          <w:sz w:val="16"/>
          <w:szCs w:val="16"/>
        </w:rPr>
        <w:t>return</w:t>
      </w:r>
      <w:proofErr w:type="gramEnd"/>
      <w:r w:rsidRPr="00043E69">
        <w:rPr>
          <w:rFonts w:ascii="Courier New" w:hAnsi="Courier New" w:cs="Courier New"/>
          <w:color w:val="000000" w:themeColor="text1"/>
          <w:sz w:val="16"/>
          <w:szCs w:val="16"/>
        </w:rPr>
        <w:t xml:space="preserve"> 0;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 xml:space="preserve"> </w:t>
      </w:r>
      <w:proofErr w:type="gramStart"/>
      <w:r w:rsidRPr="00043E69">
        <w:rPr>
          <w:rFonts w:ascii="Courier New" w:hAnsi="Courier New" w:cs="Courier New"/>
          <w:color w:val="000000" w:themeColor="text1"/>
          <w:sz w:val="16"/>
          <w:szCs w:val="16"/>
        </w:rPr>
        <w:t>end</w:t>
      </w:r>
      <w:proofErr w:type="gramEnd"/>
      <w:r w:rsidRPr="00043E69">
        <w:rPr>
          <w:rFonts w:ascii="Courier New" w:hAnsi="Courier New" w:cs="Courier New"/>
          <w:color w:val="000000" w:themeColor="text1"/>
          <w:sz w:val="16"/>
          <w:szCs w:val="16"/>
        </w:rPr>
        <w:t xml:space="preserve"> if; </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END;</w:t>
      </w:r>
    </w:p>
    <w:p w:rsidR="00B433D5" w:rsidRPr="00043E69" w:rsidRDefault="00B433D5" w:rsidP="00B433D5">
      <w:pPr>
        <w:spacing w:after="0"/>
        <w:ind w:left="357"/>
        <w:rPr>
          <w:rFonts w:ascii="Courier New" w:hAnsi="Courier New" w:cs="Courier New"/>
          <w:color w:val="000000" w:themeColor="text1"/>
          <w:sz w:val="16"/>
          <w:szCs w:val="16"/>
        </w:rPr>
      </w:pPr>
      <w:r w:rsidRPr="00043E69">
        <w:rPr>
          <w:rFonts w:ascii="Courier New" w:hAnsi="Courier New" w:cs="Courier New"/>
          <w:color w:val="000000" w:themeColor="text1"/>
          <w:sz w:val="16"/>
          <w:szCs w:val="16"/>
        </w:rPr>
        <w:t>/</w:t>
      </w:r>
    </w:p>
    <w:p w:rsidR="0079283A" w:rsidRPr="00043E69" w:rsidRDefault="0079283A">
      <w:pPr>
        <w:rPr>
          <w:color w:val="000000" w:themeColor="text1"/>
          <w:sz w:val="20"/>
          <w:szCs w:val="20"/>
        </w:rPr>
      </w:pPr>
    </w:p>
    <w:p w:rsidR="00B433D5" w:rsidRPr="00043E69" w:rsidRDefault="00B433D5" w:rsidP="00B433D5">
      <w:pPr>
        <w:pStyle w:val="ListParagraph"/>
        <w:numPr>
          <w:ilvl w:val="0"/>
          <w:numId w:val="1"/>
        </w:numPr>
        <w:rPr>
          <w:color w:val="000000" w:themeColor="text1"/>
          <w:sz w:val="20"/>
          <w:szCs w:val="20"/>
        </w:rPr>
      </w:pPr>
      <w:r w:rsidRPr="00043E69">
        <w:rPr>
          <w:color w:val="000000" w:themeColor="text1"/>
          <w:sz w:val="20"/>
          <w:szCs w:val="20"/>
        </w:rPr>
        <w:t xml:space="preserve">The SQL partition_speed_test.sql executes a series of </w:t>
      </w:r>
      <w:proofErr w:type="spellStart"/>
      <w:r w:rsidRPr="00043E69">
        <w:rPr>
          <w:color w:val="000000" w:themeColor="text1"/>
          <w:sz w:val="20"/>
          <w:szCs w:val="20"/>
        </w:rPr>
        <w:t>quieries</w:t>
      </w:r>
      <w:proofErr w:type="spellEnd"/>
      <w:r w:rsidRPr="00043E69">
        <w:rPr>
          <w:color w:val="000000" w:themeColor="text1"/>
          <w:sz w:val="20"/>
          <w:szCs w:val="20"/>
        </w:rPr>
        <w:t xml:space="preserve"> using both Cartridge instances and reports the time taken for the searches. </w:t>
      </w:r>
    </w:p>
    <w:sectPr w:rsidR="00B433D5" w:rsidRPr="00043E69" w:rsidSect="00D836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E5E40"/>
    <w:multiLevelType w:val="hybridMultilevel"/>
    <w:tmpl w:val="E93AF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F715B"/>
    <w:rsid w:val="00043E69"/>
    <w:rsid w:val="001B7475"/>
    <w:rsid w:val="00273359"/>
    <w:rsid w:val="002F715B"/>
    <w:rsid w:val="00692FB7"/>
    <w:rsid w:val="006E7691"/>
    <w:rsid w:val="0079283A"/>
    <w:rsid w:val="008127B6"/>
    <w:rsid w:val="008F7162"/>
    <w:rsid w:val="00B433D5"/>
    <w:rsid w:val="00C010B9"/>
    <w:rsid w:val="00D83663"/>
    <w:rsid w:val="00EA163D"/>
    <w:rsid w:val="00FA2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63"/>
  </w:style>
  <w:style w:type="paragraph" w:styleId="Heading1">
    <w:name w:val="heading 1"/>
    <w:basedOn w:val="Normal"/>
    <w:next w:val="Normal"/>
    <w:link w:val="Heading1Char"/>
    <w:uiPriority w:val="9"/>
    <w:qFormat/>
    <w:rsid w:val="00043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1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15B"/>
    <w:rPr>
      <w:rFonts w:ascii="Tahoma" w:hAnsi="Tahoma" w:cs="Tahoma"/>
      <w:sz w:val="16"/>
      <w:szCs w:val="16"/>
    </w:rPr>
  </w:style>
  <w:style w:type="paragraph" w:styleId="ListParagraph">
    <w:name w:val="List Paragraph"/>
    <w:basedOn w:val="Normal"/>
    <w:uiPriority w:val="34"/>
    <w:qFormat/>
    <w:rsid w:val="0079283A"/>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043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E6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7268610">
      <w:bodyDiv w:val="1"/>
      <w:marLeft w:val="0"/>
      <w:marRight w:val="0"/>
      <w:marTop w:val="0"/>
      <w:marBottom w:val="0"/>
      <w:divBdr>
        <w:top w:val="none" w:sz="0" w:space="0" w:color="auto"/>
        <w:left w:val="none" w:sz="0" w:space="0" w:color="auto"/>
        <w:bottom w:val="none" w:sz="0" w:space="0" w:color="auto"/>
        <w:right w:val="none" w:sz="0" w:space="0" w:color="auto"/>
      </w:divBdr>
    </w:div>
    <w:div w:id="1413313453">
      <w:bodyDiv w:val="1"/>
      <w:marLeft w:val="0"/>
      <w:marRight w:val="0"/>
      <w:marTop w:val="0"/>
      <w:marBottom w:val="0"/>
      <w:divBdr>
        <w:top w:val="none" w:sz="0" w:space="0" w:color="auto"/>
        <w:left w:val="none" w:sz="0" w:space="0" w:color="auto"/>
        <w:bottom w:val="none" w:sz="0" w:space="0" w:color="auto"/>
        <w:right w:val="none" w:sz="0" w:space="0" w:color="auto"/>
      </w:divBdr>
    </w:div>
    <w:div w:id="1648246316">
      <w:bodyDiv w:val="1"/>
      <w:marLeft w:val="0"/>
      <w:marRight w:val="0"/>
      <w:marTop w:val="0"/>
      <w:marBottom w:val="0"/>
      <w:divBdr>
        <w:top w:val="none" w:sz="0" w:space="0" w:color="auto"/>
        <w:left w:val="none" w:sz="0" w:space="0" w:color="auto"/>
        <w:bottom w:val="none" w:sz="0" w:space="0" w:color="auto"/>
        <w:right w:val="none" w:sz="0" w:space="0" w:color="auto"/>
      </w:divBdr>
    </w:div>
    <w:div w:id="17499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3716</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CambridgeSoft</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Hindmarch</dc:creator>
  <cp:keywords/>
  <dc:description/>
  <cp:lastModifiedBy>Peter Hindmarch</cp:lastModifiedBy>
  <cp:revision>6</cp:revision>
  <dcterms:created xsi:type="dcterms:W3CDTF">2008-08-08T16:59:00Z</dcterms:created>
  <dcterms:modified xsi:type="dcterms:W3CDTF">2008-08-11T13:44:00Z</dcterms:modified>
</cp:coreProperties>
</file>