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20" w:line="264" w:lineRule="auto"/>
      </w:pPr>
      <w:r>
        <w:rPr>
          <w:rFonts w:ascii="Calibri" w:hAnsi="Calibri"/>
          <w:b/>
          <w:i w:val="0"/>
          <w:color w:val="0B2545"/>
          <w:sz w:val="46"/>
        </w:rPr>
        <w:t>TECHNICAL SPECIFICATION</w:t>
      </w:r>
    </w:p>
    <w:p>
      <w:pPr>
        <w:spacing w:before="0" w:after="320" w:line="264" w:lineRule="auto"/>
      </w:pPr>
      <w:r>
        <w:rPr>
          <w:rFonts w:ascii="Calibri" w:hAnsi="Calibri"/>
          <w:b w:val="0"/>
          <w:i w:val="0"/>
          <w:color w:val="1F4D78"/>
          <w:sz w:val="30"/>
        </w:rPr>
        <w:t>Motorcycle Parts &amp; Accessories Business Management System</w:t>
      </w:r>
    </w:p>
    <w:p>
      <w:pPr>
        <w:spacing w:before="0" w:after="360" w:line="264" w:lineRule="auto"/>
      </w:pPr>
      <w:r>
        <w:rPr>
          <w:rFonts w:ascii="Calibri" w:hAnsi="Calibri"/>
          <w:b w:val="0"/>
          <w:i w:val="0"/>
          <w:color w:val="5B6573"/>
          <w:sz w:val="21"/>
        </w:rPr>
        <w:t>Phase 1: Internal Operations Platform | Phase 2: Customer Website</w:t>
      </w:r>
    </w:p>
    <w:tbl>
      <w:tblPr>
        <w:tblW w:type="dxa" w:w="9360"/>
        <w:jc w:val="left"/>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160"/>
        <w:gridCol w:w="7200"/>
      </w:tblGrid>
      <w:tr>
        <w:tc>
          <w:tcPr>
            <w:tcW w:type="dxa" w:w="2160"/>
            <w:shd w:fill="F2F4F7"/>
            <w:tcMar>
              <w:top w:w="80" w:type="dxa"/>
              <w:start w:w="120" w:type="dxa"/>
              <w:bottom w:w="80" w:type="dxa"/>
              <w:end w:w="120" w:type="dxa"/>
            </w:tcMar>
            <w:vAlign w:val="center"/>
          </w:tcPr>
          <w:p>
            <w:pPr>
              <w:spacing w:before="0" w:after="0" w:line="259" w:lineRule="auto"/>
            </w:pPr>
            <w:r/>
            <w:r>
              <w:rPr>
                <w:rFonts w:ascii="Calibri" w:hAnsi="Calibri"/>
                <w:b/>
                <w:color w:val="0B2545"/>
                <w:sz w:val="20"/>
              </w:rPr>
              <w:t>Document version</w:t>
            </w:r>
          </w:p>
        </w:tc>
        <w:tc>
          <w:tcPr>
            <w:tcW w:type="dxa" w:w="7200"/>
            <w:tcMar>
              <w:top w:w="80" w:type="dxa"/>
              <w:start w:w="120" w:type="dxa"/>
              <w:bottom w:w="80" w:type="dxa"/>
              <w:end w:w="120" w:type="dxa"/>
            </w:tcMar>
            <w:vAlign w:val="center"/>
          </w:tcPr>
          <w:p>
            <w:pPr>
              <w:spacing w:before="0" w:after="0" w:line="259" w:lineRule="auto"/>
            </w:pPr>
            <w:r/>
            <w:r>
              <w:rPr>
                <w:rFonts w:ascii="Calibri" w:hAnsi="Calibri"/>
                <w:b w:val="0"/>
                <w:color w:val="000000"/>
                <w:sz w:val="20"/>
              </w:rPr>
              <w:t>1.0</w:t>
            </w:r>
          </w:p>
        </w:tc>
      </w:tr>
      <w:tr>
        <w:tc>
          <w:tcPr>
            <w:tcW w:type="dxa" w:w="2160"/>
            <w:shd w:fill="F2F4F7"/>
            <w:tcMar>
              <w:top w:w="80" w:type="dxa"/>
              <w:start w:w="120" w:type="dxa"/>
              <w:bottom w:w="80" w:type="dxa"/>
              <w:end w:w="120" w:type="dxa"/>
            </w:tcMar>
            <w:vAlign w:val="center"/>
          </w:tcPr>
          <w:p>
            <w:pPr>
              <w:spacing w:before="0" w:after="0" w:line="259" w:lineRule="auto"/>
            </w:pPr>
            <w:r/>
            <w:r>
              <w:rPr>
                <w:rFonts w:ascii="Calibri" w:hAnsi="Calibri"/>
                <w:b/>
                <w:color w:val="0B2545"/>
                <w:sz w:val="20"/>
              </w:rPr>
              <w:t>Status</w:t>
            </w:r>
          </w:p>
        </w:tc>
        <w:tc>
          <w:tcPr>
            <w:tcW w:type="dxa" w:w="7200"/>
            <w:tcMar>
              <w:top w:w="80" w:type="dxa"/>
              <w:start w:w="120" w:type="dxa"/>
              <w:bottom w:w="80" w:type="dxa"/>
              <w:end w:w="120" w:type="dxa"/>
            </w:tcMar>
            <w:vAlign w:val="center"/>
          </w:tcPr>
          <w:p>
            <w:pPr>
              <w:spacing w:before="0" w:after="0" w:line="259" w:lineRule="auto"/>
            </w:pPr>
            <w:r/>
            <w:r>
              <w:rPr>
                <w:rFonts w:ascii="Calibri" w:hAnsi="Calibri"/>
                <w:b w:val="0"/>
                <w:color w:val="000000"/>
                <w:sz w:val="20"/>
              </w:rPr>
              <w:t>Draft for business and technical sign-off</w:t>
            </w:r>
          </w:p>
        </w:tc>
      </w:tr>
      <w:tr>
        <w:tc>
          <w:tcPr>
            <w:tcW w:type="dxa" w:w="2160"/>
            <w:shd w:fill="F2F4F7"/>
            <w:tcMar>
              <w:top w:w="80" w:type="dxa"/>
              <w:start w:w="120" w:type="dxa"/>
              <w:bottom w:w="80" w:type="dxa"/>
              <w:end w:w="120" w:type="dxa"/>
            </w:tcMar>
            <w:vAlign w:val="center"/>
          </w:tcPr>
          <w:p>
            <w:pPr>
              <w:spacing w:before="0" w:after="0" w:line="259" w:lineRule="auto"/>
            </w:pPr>
            <w:r/>
            <w:r>
              <w:rPr>
                <w:rFonts w:ascii="Calibri" w:hAnsi="Calibri"/>
                <w:b/>
                <w:color w:val="0B2545"/>
                <w:sz w:val="20"/>
              </w:rPr>
              <w:t>Source</w:t>
            </w:r>
          </w:p>
        </w:tc>
        <w:tc>
          <w:tcPr>
            <w:tcW w:type="dxa" w:w="7200"/>
            <w:tcMar>
              <w:top w:w="80" w:type="dxa"/>
              <w:start w:w="120" w:type="dxa"/>
              <w:bottom w:w="80" w:type="dxa"/>
              <w:end w:w="120" w:type="dxa"/>
            </w:tcMar>
            <w:vAlign w:val="center"/>
          </w:tcPr>
          <w:p>
            <w:pPr>
              <w:spacing w:before="0" w:after="0" w:line="259" w:lineRule="auto"/>
            </w:pPr>
            <w:r/>
            <w:r>
              <w:rPr>
                <w:rFonts w:ascii="Calibri" w:hAnsi="Calibri"/>
                <w:b w:val="0"/>
                <w:color w:val="000000"/>
                <w:sz w:val="20"/>
              </w:rPr>
              <w:t>Motorcycle Parts Business BRD V1.0</w:t>
            </w:r>
          </w:p>
        </w:tc>
      </w:tr>
      <w:tr>
        <w:tc>
          <w:tcPr>
            <w:tcW w:type="dxa" w:w="2160"/>
            <w:shd w:fill="F2F4F7"/>
            <w:tcMar>
              <w:top w:w="80" w:type="dxa"/>
              <w:start w:w="120" w:type="dxa"/>
              <w:bottom w:w="80" w:type="dxa"/>
              <w:end w:w="120" w:type="dxa"/>
            </w:tcMar>
            <w:vAlign w:val="center"/>
          </w:tcPr>
          <w:p>
            <w:pPr>
              <w:spacing w:before="0" w:after="0" w:line="259" w:lineRule="auto"/>
            </w:pPr>
            <w:r/>
            <w:r>
              <w:rPr>
                <w:rFonts w:ascii="Calibri" w:hAnsi="Calibri"/>
                <w:b/>
                <w:color w:val="0B2545"/>
                <w:sz w:val="20"/>
              </w:rPr>
              <w:t>Prepared</w:t>
            </w:r>
          </w:p>
        </w:tc>
        <w:tc>
          <w:tcPr>
            <w:tcW w:type="dxa" w:w="7200"/>
            <w:tcMar>
              <w:top w:w="80" w:type="dxa"/>
              <w:start w:w="120" w:type="dxa"/>
              <w:bottom w:w="80" w:type="dxa"/>
              <w:end w:w="120" w:type="dxa"/>
            </w:tcMar>
            <w:vAlign w:val="center"/>
          </w:tcPr>
          <w:p>
            <w:pPr>
              <w:spacing w:before="0" w:after="0" w:line="259" w:lineRule="auto"/>
            </w:pPr>
            <w:r/>
            <w:r>
              <w:rPr>
                <w:rFonts w:ascii="Calibri" w:hAnsi="Calibri"/>
                <w:b w:val="0"/>
                <w:color w:val="000000"/>
                <w:sz w:val="20"/>
              </w:rPr>
              <w:t>16 August 2026</w:t>
            </w:r>
          </w:p>
        </w:tc>
      </w:tr>
      <w:tr>
        <w:tc>
          <w:tcPr>
            <w:tcW w:type="dxa" w:w="2160"/>
            <w:shd w:fill="F2F4F7"/>
            <w:tcMar>
              <w:top w:w="80" w:type="dxa"/>
              <w:start w:w="120" w:type="dxa"/>
              <w:bottom w:w="80" w:type="dxa"/>
              <w:end w:w="120" w:type="dxa"/>
            </w:tcMar>
            <w:vAlign w:val="center"/>
          </w:tcPr>
          <w:p>
            <w:pPr>
              <w:spacing w:before="0" w:after="0" w:line="259" w:lineRule="auto"/>
            </w:pPr>
            <w:r/>
            <w:r>
              <w:rPr>
                <w:rFonts w:ascii="Calibri" w:hAnsi="Calibri"/>
                <w:b/>
                <w:color w:val="0B2545"/>
                <w:sz w:val="20"/>
              </w:rPr>
              <w:t>Primary stack</w:t>
            </w:r>
          </w:p>
        </w:tc>
        <w:tc>
          <w:tcPr>
            <w:tcW w:type="dxa" w:w="7200"/>
            <w:tcMar>
              <w:top w:w="80" w:type="dxa"/>
              <w:start w:w="120" w:type="dxa"/>
              <w:bottom w:w="80" w:type="dxa"/>
              <w:end w:w="120" w:type="dxa"/>
            </w:tcMar>
            <w:vAlign w:val="center"/>
          </w:tcPr>
          <w:p>
            <w:pPr>
              <w:spacing w:before="0" w:after="0" w:line="259" w:lineRule="auto"/>
            </w:pPr>
            <w:r/>
            <w:r>
              <w:rPr>
                <w:rFonts w:ascii="Calibri" w:hAnsi="Calibri"/>
                <w:b w:val="0"/>
                <w:color w:val="000000"/>
                <w:sz w:val="20"/>
              </w:rPr>
              <w:t>Next.js + TypeScript | NestJS + TypeScript | PostgreSQL + Prisma</w:t>
            </w:r>
          </w:p>
        </w:tc>
      </w:tr>
    </w:tbl>
    <w:p>
      <w:pPr>
        <w:spacing w:before="300" w:after="80" w:line="264" w:lineRule="auto"/>
      </w:pPr>
      <w:r>
        <w:rPr>
          <w:rFonts w:ascii="Calibri" w:hAnsi="Calibri"/>
          <w:b/>
          <w:i w:val="0"/>
          <w:color w:val="0B2545"/>
          <w:sz w:val="22"/>
        </w:rPr>
        <w:t>Purpose</w:t>
      </w:r>
    </w:p>
    <w:p>
      <w:pPr>
        <w:spacing w:before="0" w:after="200" w:line="264" w:lineRule="auto"/>
      </w:pPr>
      <w:r>
        <w:rPr>
          <w:rFonts w:ascii="Calibri" w:hAnsi="Calibri"/>
          <w:b w:val="0"/>
          <w:i w:val="0"/>
          <w:color w:val="000000"/>
          <w:sz w:val="21"/>
        </w:rPr>
        <w:t>This specification converts the approved business requirements into an implementation contract. It defines the V1 operating model, system boundaries, data model, APIs, screens, permissions, calculations, validation rules, and testable acceptance criteria. Where the BRD leaves a decision open, this document marks it as a decision gate rather than treating it as confirmed behavior.</w:t>
      </w:r>
    </w:p>
    <w:tbl>
      <w:tblPr>
        <w:tblW w:type="dxa" w:w="9360"/>
        <w:jc w:val="left"/>
        <w:tblLayout w:type="fixed"/>
        <w:tblLook w:firstColumn="1" w:firstRow="1" w:lastColumn="0" w:lastRow="0" w:noHBand="0" w:noVBand="1" w:val="04A0"/>
        <w:tblInd w:w="120" w:type="dxa"/>
        <w:tblBorders>
          <w:top w:val="single" w:sz="6" w:space="0" w:color="B7C8DB"/>
          <w:left w:val="single" w:sz="6" w:space="0" w:color="B7C8DB"/>
          <w:bottom w:val="single" w:sz="6" w:space="0" w:color="B7C8DB"/>
          <w:right w:val="single" w:sz="6" w:space="0" w:color="B7C8DB"/>
          <w:insideH w:val="single" w:sz="6" w:space="0" w:color="B7C8DB"/>
          <w:insideV w:val="single" w:sz="6" w:space="0" w:color="B7C8DB"/>
        </w:tblBorders>
      </w:tblPr>
      <w:tblGrid>
        <w:gridCol w:w="9360"/>
      </w:tblGrid>
      <w:tr>
        <w:tc>
          <w:tcPr>
            <w:tcW w:type="dxa" w:w="9360"/>
            <w:tcMar>
              <w:top w:w="80" w:type="dxa"/>
              <w:start w:w="120" w:type="dxa"/>
              <w:bottom w:w="80" w:type="dxa"/>
              <w:end w:w="120" w:type="dxa"/>
            </w:tcMar>
            <w:vAlign w:val="center"/>
            <w:shd w:fill="F4F7FA"/>
          </w:tcPr>
          <w:p>
            <w:pPr>
              <w:spacing w:before="0" w:after="0" w:line="259" w:lineRule="auto"/>
            </w:pPr>
            <w:r/>
            <w:r>
              <w:rPr>
                <w:rFonts w:ascii="Calibri" w:hAnsi="Calibri"/>
                <w:b/>
                <w:color w:val="1F4D78"/>
                <w:sz w:val="20"/>
              </w:rPr>
              <w:t>Implementation rule: no production behavior may silently choose a TBD policy. Each decision gate must be configured or formally approved before the related feature is released.</w:t>
            </w:r>
          </w:p>
        </w:tc>
      </w:tr>
    </w:tbl>
    <w:p>
      <w:pPr>
        <w:spacing w:before="0" w:after="0" w:line="264" w:lineRule="auto"/>
      </w:pPr>
      <w:r>
        <w:rPr>
          <w:rFonts w:ascii="Calibri" w:hAnsi="Calibri"/>
          <w:b w:val="0"/>
          <w:i w:val="0"/>
          <w:color w:val="000000"/>
          <w:sz w:val="22"/>
        </w:rPr>
      </w:r>
    </w:p>
    <w:p>
      <w:pPr>
        <w:pStyle w:val="Heading1"/>
      </w:pPr>
      <w:r>
        <w:rPr>
          <w:rFonts w:ascii="Calibri" w:hAnsi="Calibri"/>
          <w:b/>
          <w:color w:val="2E74B5"/>
          <w:sz w:val="32"/>
        </w:rPr>
        <w:t>1. Document Scope and Delivery Boundary</w:t>
      </w:r>
    </w:p>
    <w:p>
      <w:pPr>
        <w:spacing w:before="0" w:after="120" w:line="264" w:lineRule="auto"/>
      </w:pPr>
      <w:r>
        <w:rPr>
          <w:rFonts w:ascii="Calibri" w:hAnsi="Calibri"/>
          <w:b w:val="0"/>
          <w:i w:val="0"/>
          <w:color w:val="000000"/>
          <w:sz w:val="22"/>
        </w:rPr>
        <w:t>The system replaces spreadsheet, WhatsApp, and informal order-history tracking for a motorcycle-parts importing and sales business. Phase 1 is an internal operating system for three core partners. Phase 2 adds a separate customer-facing catalog and verified shop portal using the same backend and domain model. Shop owners have no access to the internal application, its routes, internal APIs, audit views, or internal data.</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800"/>
        <w:gridCol w:w="3780"/>
        <w:gridCol w:w="3780"/>
      </w:tblGrid>
      <w:tr>
        <w:trPr>
          <w:tblHeader w:val="true"/>
        </w:trPr>
        <w:tc>
          <w:tcPr>
            <w:tcW w:type="dxa" w:w="18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Area</w:t>
            </w:r>
          </w:p>
        </w:tc>
        <w:tc>
          <w:tcPr>
            <w:tcW w:type="dxa" w:w="378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Phase 1 - internal</w:t>
            </w:r>
          </w:p>
        </w:tc>
        <w:tc>
          <w:tcPr>
            <w:tcW w:type="dxa" w:w="378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Phase 2 - customer website</w:t>
            </w:r>
          </w:p>
        </w:tc>
      </w:tr>
      <w:tr>
        <w:tc>
          <w:tcPr>
            <w:tcW w:type="dxa" w:w="1800"/>
            <w:tcMar>
              <w:top w:w="80" w:type="dxa"/>
              <w:start w:w="120" w:type="dxa"/>
              <w:bottom w:w="80" w:type="dxa"/>
              <w:end w:w="120" w:type="dxa"/>
            </w:tcMar>
            <w:vAlign w:val="center"/>
          </w:tcPr>
          <w:p>
            <w:pPr>
              <w:spacing w:before="0" w:after="0" w:line="259" w:lineRule="auto"/>
            </w:pPr>
            <w:r/>
            <w:r>
              <w:rPr>
                <w:rFonts w:ascii="Calibri" w:hAnsi="Calibri"/>
                <w:b w:val="0"/>
                <w:color w:val="000000"/>
                <w:sz w:val="18"/>
              </w:rPr>
              <w:t>Catalog</w:t>
            </w:r>
          </w:p>
        </w:tc>
        <w:tc>
          <w:tcPr>
            <w:tcW w:type="dxa" w:w="3780"/>
            <w:tcMar>
              <w:top w:w="80" w:type="dxa"/>
              <w:start w:w="120" w:type="dxa"/>
              <w:bottom w:w="80" w:type="dxa"/>
              <w:end w:w="120" w:type="dxa"/>
            </w:tcMar>
            <w:vAlign w:val="center"/>
          </w:tcPr>
          <w:p>
            <w:pPr>
              <w:spacing w:before="0" w:after="0" w:line="259" w:lineRule="auto"/>
            </w:pPr>
            <w:r/>
            <w:r>
              <w:rPr>
                <w:rFonts w:ascii="Calibri" w:hAnsi="Calibri"/>
                <w:b w:val="0"/>
                <w:color w:val="000000"/>
                <w:sz w:val="18"/>
              </w:rPr>
              <w:t>Products, suppliers, compatibility, product photos, internal pricing</w:t>
            </w:r>
          </w:p>
        </w:tc>
        <w:tc>
          <w:tcPr>
            <w:tcW w:type="dxa" w:w="3780"/>
            <w:tcMar>
              <w:top w:w="80" w:type="dxa"/>
              <w:start w:w="120" w:type="dxa"/>
              <w:bottom w:w="80" w:type="dxa"/>
              <w:end w:w="120" w:type="dxa"/>
            </w:tcMar>
            <w:vAlign w:val="center"/>
          </w:tcPr>
          <w:p>
            <w:pPr>
              <w:spacing w:before="0" w:after="0" w:line="259" w:lineRule="auto"/>
            </w:pPr>
            <w:r/>
            <w:r>
              <w:rPr>
                <w:rFonts w:ascii="Calibri" w:hAnsi="Calibri"/>
                <w:b w:val="0"/>
                <w:color w:val="000000"/>
                <w:sz w:val="18"/>
              </w:rPr>
              <w:t>Public catalog; only customer-safe product data</w:t>
            </w:r>
          </w:p>
        </w:tc>
      </w:tr>
      <w:tr>
        <w:tc>
          <w:tcPr>
            <w:tcW w:type="dxa" w:w="18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Supply chain</w:t>
            </w:r>
          </w:p>
        </w:tc>
        <w:tc>
          <w:tcPr>
            <w:tcW w:type="dxa" w:w="378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Cycles, purchase orders, shipping legs, receiving and verification</w:t>
            </w:r>
          </w:p>
        </w:tc>
        <w:tc>
          <w:tcPr>
            <w:tcW w:type="dxa" w:w="378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No access</w:t>
            </w:r>
          </w:p>
        </w:tc>
      </w:tr>
      <w:tr>
        <w:tc>
          <w:tcPr>
            <w:tcW w:type="dxa" w:w="1800"/>
            <w:tcMar>
              <w:top w:w="80" w:type="dxa"/>
              <w:start w:w="120" w:type="dxa"/>
              <w:bottom w:w="80" w:type="dxa"/>
              <w:end w:w="120" w:type="dxa"/>
            </w:tcMar>
            <w:vAlign w:val="center"/>
          </w:tcPr>
          <w:p>
            <w:pPr>
              <w:spacing w:before="0" w:after="0" w:line="259" w:lineRule="auto"/>
            </w:pPr>
            <w:r/>
            <w:r>
              <w:rPr>
                <w:rFonts w:ascii="Calibri" w:hAnsi="Calibri"/>
                <w:b w:val="0"/>
                <w:color w:val="000000"/>
                <w:sz w:val="18"/>
              </w:rPr>
              <w:t>Inventory</w:t>
            </w:r>
          </w:p>
        </w:tc>
        <w:tc>
          <w:tcPr>
            <w:tcW w:type="dxa" w:w="3780"/>
            <w:tcMar>
              <w:top w:w="80" w:type="dxa"/>
              <w:start w:w="120" w:type="dxa"/>
              <w:bottom w:w="80" w:type="dxa"/>
              <w:end w:w="120" w:type="dxa"/>
            </w:tcMar>
            <w:vAlign w:val="center"/>
          </w:tcPr>
          <w:p>
            <w:pPr>
              <w:spacing w:before="0" w:after="0" w:line="259" w:lineRule="auto"/>
            </w:pPr>
            <w:r/>
            <w:r>
              <w:rPr>
                <w:rFonts w:ascii="Calibri" w:hAnsi="Calibri"/>
                <w:b w:val="0"/>
                <w:color w:val="000000"/>
                <w:sz w:val="18"/>
              </w:rPr>
              <w:t>Batch stock, reservations, movements, stock alerts</w:t>
            </w:r>
          </w:p>
        </w:tc>
        <w:tc>
          <w:tcPr>
            <w:tcW w:type="dxa" w:w="3780"/>
            <w:tcMar>
              <w:top w:w="80" w:type="dxa"/>
              <w:start w:w="120" w:type="dxa"/>
              <w:bottom w:w="80" w:type="dxa"/>
              <w:end w:w="120" w:type="dxa"/>
            </w:tcMar>
            <w:vAlign w:val="center"/>
          </w:tcPr>
          <w:p>
            <w:pPr>
              <w:spacing w:before="0" w:after="0" w:line="259" w:lineRule="auto"/>
            </w:pPr>
            <w:r/>
            <w:r>
              <w:rPr>
                <w:rFonts w:ascii="Calibri" w:hAnsi="Calibri"/>
                <w:b w:val="0"/>
                <w:color w:val="000000"/>
                <w:sz w:val="18"/>
              </w:rPr>
              <w:t>Availability only; no internal cost or batch data</w:t>
            </w:r>
          </w:p>
        </w:tc>
      </w:tr>
      <w:tr>
        <w:tc>
          <w:tcPr>
            <w:tcW w:type="dxa" w:w="18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Sales and cash</w:t>
            </w:r>
          </w:p>
        </w:tc>
        <w:tc>
          <w:tcPr>
            <w:tcW w:type="dxa" w:w="378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B2B/B2C orders, payments, receivables, refunds</w:t>
            </w:r>
          </w:p>
        </w:tc>
        <w:tc>
          <w:tcPr>
            <w:tcW w:type="dxa" w:w="378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Own requests, orders, payment history and balance</w:t>
            </w:r>
          </w:p>
        </w:tc>
      </w:tr>
      <w:tr>
        <w:tc>
          <w:tcPr>
            <w:tcW w:type="dxa" w:w="1800"/>
            <w:tcMar>
              <w:top w:w="80" w:type="dxa"/>
              <w:start w:w="120" w:type="dxa"/>
              <w:bottom w:w="80" w:type="dxa"/>
              <w:end w:w="120" w:type="dxa"/>
            </w:tcMar>
            <w:vAlign w:val="center"/>
          </w:tcPr>
          <w:p>
            <w:pPr>
              <w:spacing w:before="0" w:after="0" w:line="259" w:lineRule="auto"/>
            </w:pPr>
            <w:r/>
            <w:r>
              <w:rPr>
                <w:rFonts w:ascii="Calibri" w:hAnsi="Calibri"/>
                <w:b w:val="0"/>
                <w:color w:val="000000"/>
                <w:sz w:val="18"/>
              </w:rPr>
              <w:t>Finance</w:t>
            </w:r>
          </w:p>
        </w:tc>
        <w:tc>
          <w:tcPr>
            <w:tcW w:type="dxa" w:w="3780"/>
            <w:tcMar>
              <w:top w:w="80" w:type="dxa"/>
              <w:start w:w="120" w:type="dxa"/>
              <w:bottom w:w="80" w:type="dxa"/>
              <w:end w:w="120" w:type="dxa"/>
            </w:tcMar>
            <w:vAlign w:val="center"/>
          </w:tcPr>
          <w:p>
            <w:pPr>
              <w:spacing w:before="0" w:after="0" w:line="259" w:lineRule="auto"/>
            </w:pPr>
            <w:r/>
            <w:r>
              <w:rPr>
                <w:rFonts w:ascii="Calibri" w:hAnsi="Calibri"/>
                <w:b w:val="0"/>
                <w:color w:val="000000"/>
                <w:sz w:val="18"/>
              </w:rPr>
              <w:t>Contributions, expenses, ledger, settlements, profit calculations</w:t>
            </w:r>
          </w:p>
        </w:tc>
        <w:tc>
          <w:tcPr>
            <w:tcW w:type="dxa" w:w="3780"/>
            <w:tcMar>
              <w:top w:w="80" w:type="dxa"/>
              <w:start w:w="120" w:type="dxa"/>
              <w:bottom w:w="80" w:type="dxa"/>
              <w:end w:w="120" w:type="dxa"/>
            </w:tcMar>
            <w:vAlign w:val="center"/>
          </w:tcPr>
          <w:p>
            <w:pPr>
              <w:spacing w:before="0" w:after="0" w:line="259" w:lineRule="auto"/>
            </w:pPr>
            <w:r/>
            <w:r>
              <w:rPr>
                <w:rFonts w:ascii="Calibri" w:hAnsi="Calibri"/>
                <w:b w:val="0"/>
                <w:color w:val="000000"/>
                <w:sz w:val="18"/>
              </w:rPr>
              <w:t>No access</w:t>
            </w:r>
          </w:p>
        </w:tc>
      </w:tr>
      <w:tr>
        <w:tc>
          <w:tcPr>
            <w:tcW w:type="dxa" w:w="18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Governance</w:t>
            </w:r>
          </w:p>
        </w:tc>
        <w:tc>
          <w:tcPr>
            <w:tcW w:type="dxa" w:w="378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Notifications and audit log</w:t>
            </w:r>
          </w:p>
        </w:tc>
        <w:tc>
          <w:tcPr>
            <w:tcW w:type="dxa" w:w="378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Own account activity only</w:t>
            </w:r>
          </w:p>
        </w:tc>
      </w:tr>
    </w:tbl>
    <w:p>
      <w:pPr>
        <w:spacing w:before="0" w:after="80"/>
      </w:pPr>
    </w:p>
    <w:p>
      <w:pPr>
        <w:pStyle w:val="Heading1"/>
      </w:pPr>
      <w:r>
        <w:rPr>
          <w:rFonts w:ascii="Calibri" w:hAnsi="Calibri"/>
          <w:b/>
          <w:color w:val="2E74B5"/>
          <w:sz w:val="32"/>
        </w:rPr>
        <w:t>2. Architecture and System Boundaries</w:t>
      </w:r>
    </w:p>
    <w:p>
      <w:pPr>
        <w:spacing w:before="0" w:after="120" w:line="264" w:lineRule="auto"/>
      </w:pPr>
      <w:r>
        <w:rPr>
          <w:rFonts w:ascii="Calibri" w:hAnsi="Calibri"/>
          <w:b w:val="0"/>
          <w:i w:val="0"/>
          <w:color w:val="000000"/>
          <w:sz w:val="22"/>
        </w:rPr>
        <w:t>The implementation is API-first. The internal web application and Phase 2 customer website are separate Next.js applications or route groups that consume the same versioned NestJS REST API. NestJS owns all business validation, transactions, authorization, and audit generation; clients must never calculate authoritative stock, cost, profit, or balance figures.</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350"/>
        <w:gridCol w:w="3100"/>
        <w:gridCol w:w="4910"/>
      </w:tblGrid>
      <w:tr>
        <w:trPr>
          <w:tblHeader w:val="true"/>
        </w:trPr>
        <w:tc>
          <w:tcPr>
            <w:tcW w:type="dxa" w:w="13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Layer</w:t>
            </w:r>
          </w:p>
        </w:tc>
        <w:tc>
          <w:tcPr>
            <w:tcW w:type="dxa" w:w="3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Technology / responsibility</w:t>
            </w:r>
          </w:p>
        </w:tc>
        <w:tc>
          <w:tcPr>
            <w:tcW w:type="dxa" w:w="491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Implementation constraints</w:t>
            </w:r>
          </w:p>
        </w:tc>
      </w:tr>
      <w:tr>
        <w:tc>
          <w:tcPr>
            <w:tcW w:type="dxa" w:w="1350"/>
            <w:tcMar>
              <w:top w:w="80" w:type="dxa"/>
              <w:start w:w="120" w:type="dxa"/>
              <w:bottom w:w="80" w:type="dxa"/>
              <w:end w:w="120" w:type="dxa"/>
            </w:tcMar>
            <w:vAlign w:val="center"/>
          </w:tcPr>
          <w:p>
            <w:pPr>
              <w:spacing w:before="0" w:after="0" w:line="259" w:lineRule="auto"/>
            </w:pPr>
            <w:r/>
            <w:r>
              <w:rPr>
                <w:rFonts w:ascii="Calibri" w:hAnsi="Calibri"/>
                <w:b w:val="0"/>
                <w:color w:val="000000"/>
                <w:sz w:val="18"/>
              </w:rPr>
              <w:t>Internal UI</w:t>
            </w:r>
          </w:p>
        </w:tc>
        <w:tc>
          <w:tcPr>
            <w:tcW w:type="dxa" w:w="3100"/>
            <w:tcMar>
              <w:top w:w="80" w:type="dxa"/>
              <w:start w:w="120" w:type="dxa"/>
              <w:bottom w:w="80" w:type="dxa"/>
              <w:end w:w="120" w:type="dxa"/>
            </w:tcMar>
            <w:vAlign w:val="center"/>
          </w:tcPr>
          <w:p>
            <w:pPr>
              <w:spacing w:before="0" w:after="0" w:line="259" w:lineRule="auto"/>
            </w:pPr>
            <w:r/>
            <w:r>
              <w:rPr>
                <w:rFonts w:ascii="Calibri" w:hAnsi="Calibri"/>
                <w:b w:val="0"/>
                <w:color w:val="000000"/>
                <w:sz w:val="18"/>
              </w:rPr>
              <w:t>Next.js (App Router), TypeScript</w:t>
            </w:r>
          </w:p>
        </w:tc>
        <w:tc>
          <w:tcPr>
            <w:tcW w:type="dxa" w:w="4910"/>
            <w:tcMar>
              <w:top w:w="80" w:type="dxa"/>
              <w:start w:w="120" w:type="dxa"/>
              <w:bottom w:w="80" w:type="dxa"/>
              <w:end w:w="120" w:type="dxa"/>
            </w:tcMar>
            <w:vAlign w:val="center"/>
          </w:tcPr>
          <w:p>
            <w:pPr>
              <w:spacing w:before="0" w:after="0" w:line="259" w:lineRule="auto"/>
            </w:pPr>
            <w:r/>
            <w:r>
              <w:rPr>
                <w:rFonts w:ascii="Calibri" w:hAnsi="Calibri"/>
                <w:b w:val="0"/>
                <w:color w:val="000000"/>
                <w:sz w:val="18"/>
              </w:rPr>
              <w:t>Partner-facing workflows, dashboard, analytics, administration</w:t>
            </w:r>
          </w:p>
        </w:tc>
      </w:tr>
      <w:tr>
        <w:tc>
          <w:tcPr>
            <w:tcW w:type="dxa" w:w="13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Customer UI</w:t>
            </w:r>
          </w:p>
        </w:tc>
        <w:tc>
          <w:tcPr>
            <w:tcW w:type="dxa" w:w="3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Next.js (App Router), TypeScript</w:t>
            </w:r>
          </w:p>
        </w:tc>
        <w:tc>
          <w:tcPr>
            <w:tcW w:type="dxa" w:w="4910"/>
            <w:shd w:fill="FAFBFC"/>
            <w:tcMar>
              <w:top w:w="80" w:type="dxa"/>
              <w:start w:w="120" w:type="dxa"/>
              <w:bottom w:w="80" w:type="dxa"/>
              <w:end w:w="120" w:type="dxa"/>
            </w:tcMar>
            <w:vAlign w:val="center"/>
          </w:tcPr>
          <w:p>
            <w:pPr>
              <w:spacing w:before="0" w:after="0" w:line="259" w:lineRule="auto"/>
            </w:pPr>
            <w:r>
              <w:t>Separate customer portal only; customer-safe API projections. It must not share the internal application surface or internal route groups.</w:t>
            </w:r>
            <w:r>
              <w:rPr>
                <w:rFonts w:ascii="Calibri" w:hAnsi="Calibri"/>
                <w:b w:val="0"/>
                <w:color w:val="000000"/>
                <w:sz w:val="18"/>
              </w:rPr>
            </w:r>
          </w:p>
        </w:tc>
      </w:tr>
      <w:tr>
        <w:tc>
          <w:tcPr>
            <w:tcW w:type="dxa" w:w="1350"/>
            <w:tcMar>
              <w:top w:w="80" w:type="dxa"/>
              <w:start w:w="120" w:type="dxa"/>
              <w:bottom w:w="80" w:type="dxa"/>
              <w:end w:w="120" w:type="dxa"/>
            </w:tcMar>
            <w:vAlign w:val="center"/>
          </w:tcPr>
          <w:p>
            <w:pPr>
              <w:spacing w:before="0" w:after="0" w:line="259" w:lineRule="auto"/>
            </w:pPr>
            <w:r/>
            <w:r>
              <w:rPr>
                <w:rFonts w:ascii="Calibri" w:hAnsi="Calibri"/>
                <w:b w:val="0"/>
                <w:color w:val="000000"/>
                <w:sz w:val="18"/>
              </w:rPr>
              <w:t>API</w:t>
            </w:r>
          </w:p>
        </w:tc>
        <w:tc>
          <w:tcPr>
            <w:tcW w:type="dxa" w:w="3100"/>
            <w:tcMar>
              <w:top w:w="80" w:type="dxa"/>
              <w:start w:w="120" w:type="dxa"/>
              <w:bottom w:w="80" w:type="dxa"/>
              <w:end w:w="120" w:type="dxa"/>
            </w:tcMar>
            <w:vAlign w:val="center"/>
          </w:tcPr>
          <w:p>
            <w:pPr>
              <w:spacing w:before="0" w:after="0" w:line="259" w:lineRule="auto"/>
            </w:pPr>
            <w:r/>
            <w:r>
              <w:rPr>
                <w:rFonts w:ascii="Calibri" w:hAnsi="Calibri"/>
                <w:b w:val="0"/>
                <w:color w:val="000000"/>
                <w:sz w:val="18"/>
              </w:rPr>
              <w:t>NestJS, TypeScript, REST / JSON</w:t>
            </w:r>
          </w:p>
        </w:tc>
        <w:tc>
          <w:tcPr>
            <w:tcW w:type="dxa" w:w="4910"/>
            <w:tcMar>
              <w:top w:w="80" w:type="dxa"/>
              <w:start w:w="120" w:type="dxa"/>
              <w:bottom w:w="80" w:type="dxa"/>
              <w:end w:w="120" w:type="dxa"/>
            </w:tcMar>
            <w:vAlign w:val="center"/>
          </w:tcPr>
          <w:p>
            <w:pPr>
              <w:spacing w:before="0" w:after="0" w:line="259" w:lineRule="auto"/>
            </w:pPr>
            <w:r/>
            <w:r>
              <w:rPr>
                <w:rFonts w:ascii="Calibri" w:hAnsi="Calibri"/>
                <w:b w:val="0"/>
                <w:color w:val="000000"/>
                <w:sz w:val="18"/>
              </w:rPr>
              <w:t>Domain services, RBAC, validation, database transactions, audit events</w:t>
            </w:r>
          </w:p>
        </w:tc>
      </w:tr>
      <w:tr>
        <w:tc>
          <w:tcPr>
            <w:tcW w:type="dxa" w:w="13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Data</w:t>
            </w:r>
          </w:p>
        </w:tc>
        <w:tc>
          <w:tcPr>
            <w:tcW w:type="dxa" w:w="3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PostgreSQL + Prisma</w:t>
            </w:r>
          </w:p>
        </w:tc>
        <w:tc>
          <w:tcPr>
            <w:tcW w:type="dxa" w:w="49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UUID primary keys, UTC timestamps, NUMERIC decimals; append-only history for financial and stock events</w:t>
            </w:r>
          </w:p>
        </w:tc>
      </w:tr>
      <w:tr>
        <w:tc>
          <w:tcPr>
            <w:tcW w:type="dxa" w:w="1350"/>
            <w:tcMar>
              <w:top w:w="80" w:type="dxa"/>
              <w:start w:w="120" w:type="dxa"/>
              <w:bottom w:w="80" w:type="dxa"/>
              <w:end w:w="120" w:type="dxa"/>
            </w:tcMar>
            <w:vAlign w:val="center"/>
          </w:tcPr>
          <w:p>
            <w:pPr>
              <w:spacing w:before="0" w:after="0" w:line="259" w:lineRule="auto"/>
            </w:pPr>
            <w:r/>
            <w:r>
              <w:rPr>
                <w:rFonts w:ascii="Calibri" w:hAnsi="Calibri"/>
                <w:b w:val="0"/>
                <w:color w:val="000000"/>
                <w:sz w:val="18"/>
              </w:rPr>
              <w:t>Files</w:t>
            </w:r>
          </w:p>
        </w:tc>
        <w:tc>
          <w:tcPr>
            <w:tcW w:type="dxa" w:w="3100"/>
            <w:tcMar>
              <w:top w:w="80" w:type="dxa"/>
              <w:start w:w="120" w:type="dxa"/>
              <w:bottom w:w="80" w:type="dxa"/>
              <w:end w:w="120" w:type="dxa"/>
            </w:tcMar>
            <w:vAlign w:val="center"/>
          </w:tcPr>
          <w:p>
            <w:pPr>
              <w:spacing w:before="0" w:after="0" w:line="259" w:lineRule="auto"/>
            </w:pPr>
            <w:r/>
            <w:r>
              <w:rPr>
                <w:rFonts w:ascii="Calibri" w:hAnsi="Calibri"/>
                <w:b w:val="0"/>
                <w:color w:val="000000"/>
                <w:sz w:val="18"/>
              </w:rPr>
              <w:t>Object storage</w:t>
            </w:r>
          </w:p>
        </w:tc>
        <w:tc>
          <w:tcPr>
            <w:tcW w:type="dxa" w:w="4910"/>
            <w:tcMar>
              <w:top w:w="80" w:type="dxa"/>
              <w:start w:w="120" w:type="dxa"/>
              <w:bottom w:w="80" w:type="dxa"/>
              <w:end w:w="120" w:type="dxa"/>
            </w:tcMar>
            <w:vAlign w:val="center"/>
          </w:tcPr>
          <w:p>
            <w:pPr>
              <w:spacing w:before="0" w:after="0" w:line="259" w:lineRule="auto"/>
            </w:pPr>
            <w:r/>
            <w:r>
              <w:rPr>
                <w:rFonts w:ascii="Calibri" w:hAnsi="Calibri"/>
                <w:b w:val="0"/>
                <w:color w:val="000000"/>
                <w:sz w:val="18"/>
              </w:rPr>
              <w:t>Product photos, supplier documents, invoice/receipt evidence; metadata stored in PostgreSQL</w:t>
            </w:r>
          </w:p>
        </w:tc>
      </w:tr>
      <w:tr>
        <w:tc>
          <w:tcPr>
            <w:tcW w:type="dxa" w:w="13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Async</w:t>
            </w:r>
          </w:p>
        </w:tc>
        <w:tc>
          <w:tcPr>
            <w:tcW w:type="dxa" w:w="3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Database outbox + worker</w:t>
            </w:r>
          </w:p>
        </w:tc>
        <w:tc>
          <w:tcPr>
            <w:tcW w:type="dxa" w:w="49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In-app notifications, alert fan-out, future email/WhatsApp/push delivery without losing transactional events</w:t>
            </w:r>
          </w:p>
        </w:tc>
      </w:tr>
      <w:tr>
        <w:tc>
          <w:tcPr>
            <w:tcW w:type="dxa" w:w="1350"/>
            <w:tcMar>
              <w:top w:w="80" w:type="dxa"/>
              <w:start w:w="120" w:type="dxa"/>
              <w:bottom w:w="80" w:type="dxa"/>
              <w:end w:w="120" w:type="dxa"/>
            </w:tcMar>
            <w:vAlign w:val="center"/>
          </w:tcPr>
          <w:p>
            <w:pPr>
              <w:spacing w:before="0" w:after="0" w:line="259" w:lineRule="auto"/>
            </w:pPr>
            <w:r/>
            <w:r>
              <w:rPr>
                <w:rFonts w:ascii="Calibri" w:hAnsi="Calibri"/>
                <w:b w:val="0"/>
                <w:color w:val="000000"/>
                <w:sz w:val="18"/>
              </w:rPr>
              <w:t>Observability</w:t>
            </w:r>
          </w:p>
        </w:tc>
        <w:tc>
          <w:tcPr>
            <w:tcW w:type="dxa" w:w="3100"/>
            <w:tcMar>
              <w:top w:w="80" w:type="dxa"/>
              <w:start w:w="120" w:type="dxa"/>
              <w:bottom w:w="80" w:type="dxa"/>
              <w:end w:w="120" w:type="dxa"/>
            </w:tcMar>
            <w:vAlign w:val="center"/>
          </w:tcPr>
          <w:p>
            <w:pPr>
              <w:spacing w:before="0" w:after="0" w:line="259" w:lineRule="auto"/>
            </w:pPr>
            <w:r/>
            <w:r>
              <w:rPr>
                <w:rFonts w:ascii="Calibri" w:hAnsi="Calibri"/>
                <w:b w:val="0"/>
                <w:color w:val="000000"/>
                <w:sz w:val="18"/>
              </w:rPr>
              <w:t>Structured logs, error tracking, metrics</w:t>
            </w:r>
          </w:p>
        </w:tc>
        <w:tc>
          <w:tcPr>
            <w:tcW w:type="dxa" w:w="4910"/>
            <w:tcMar>
              <w:top w:w="80" w:type="dxa"/>
              <w:start w:w="120" w:type="dxa"/>
              <w:bottom w:w="80" w:type="dxa"/>
              <w:end w:w="120" w:type="dxa"/>
            </w:tcMar>
            <w:vAlign w:val="center"/>
          </w:tcPr>
          <w:p>
            <w:pPr>
              <w:spacing w:before="0" w:after="0" w:line="259" w:lineRule="auto"/>
            </w:pPr>
            <w:r/>
            <w:r>
              <w:rPr>
                <w:rFonts w:ascii="Calibri" w:hAnsi="Calibri"/>
                <w:b w:val="0"/>
                <w:color w:val="000000"/>
                <w:sz w:val="18"/>
              </w:rPr>
              <w:t>Correlate API request, actor, entity ID and transaction ID; redact secrets and payment data</w:t>
            </w:r>
          </w:p>
        </w:tc>
      </w:tr>
    </w:tbl>
    <w:p>
      <w:pPr>
        <w:spacing w:before="0" w:after="80"/>
      </w:pPr>
    </w:p>
    <w:p>
      <w:pPr>
        <w:pStyle w:val="Heading2"/>
      </w:pPr>
      <w:r>
        <w:rPr>
          <w:rFonts w:ascii="Calibri" w:hAnsi="Calibri"/>
          <w:b/>
          <w:color w:val="2E74B5"/>
          <w:sz w:val="26"/>
        </w:rPr>
        <w:t>2.1 Logical Component Flow</w:t>
      </w:r>
    </w:p>
    <w:p>
      <w:pPr>
        <w:spacing w:before="0" w:after="120" w:line="264" w:lineRule="auto"/>
      </w:pPr>
      <w:r>
        <w:rPr>
          <w:rFonts w:ascii="Calibri" w:hAnsi="Calibri"/>
          <w:b w:val="0"/>
          <w:i w:val="0"/>
          <w:color w:val="000000"/>
          <w:sz w:val="22"/>
        </w:rPr>
        <w:t>Browser clients call the API gateway over HTTPS. The API validates identity and authorization, invokes a domain service, and commits the aggregate change, financial/inventory history, audit event, and outbox event in one database transaction. A worker delivers notification records after commit. Object-storage uploads use short-lived signed URLs; the API stores only file metadata and an access-controlled object key.</w:t>
      </w:r>
    </w:p>
    <w:p>
      <w:pPr>
        <w:pStyle w:val="Heading1"/>
      </w:pPr>
      <w:r>
        <w:rPr>
          <w:rFonts w:ascii="Calibri" w:hAnsi="Calibri"/>
          <w:b/>
          <w:color w:val="2E74B5"/>
          <w:sz w:val="32"/>
        </w:rPr>
        <w:t>3. Roles, Permissions, and Visibility</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760"/>
        <w:gridCol w:w="2150"/>
        <w:gridCol w:w="2050"/>
        <w:gridCol w:w="2050"/>
        <w:gridCol w:w="1350"/>
      </w:tblGrid>
      <w:tr>
        <w:trPr>
          <w:tblHeader w:val="true"/>
        </w:trPr>
        <w:tc>
          <w:tcPr>
            <w:tcW w:type="dxa" w:w="17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Capability</w:t>
            </w:r>
          </w:p>
        </w:tc>
        <w:tc>
          <w:tcPr>
            <w:tcW w:type="dxa" w:w="21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Core partner</w:t>
            </w:r>
          </w:p>
        </w:tc>
        <w:tc>
          <w:tcPr>
            <w:tcW w:type="dxa" w:w="20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Temporary investor</w:t>
            </w:r>
          </w:p>
        </w:tc>
        <w:tc>
          <w:tcPr>
            <w:tcW w:type="dxa" w:w="2050"/>
            <w:tcMar>
              <w:top w:w="80" w:type="dxa"/>
              <w:start w:w="120" w:type="dxa"/>
              <w:bottom w:w="80" w:type="dxa"/>
              <w:end w:w="120" w:type="dxa"/>
            </w:tcMar>
            <w:vAlign w:val="center"/>
            <w:shd w:fill="E8EEF5"/>
          </w:tcPr>
          <w:p>
            <w:pPr>
              <w:spacing w:before="0" w:after="0" w:line="259" w:lineRule="auto"/>
            </w:pPr>
            <w:r>
              <w:t>Verified shop owner</w:t>
              <w:br/>
              <w:t>(customer portal only)</w:t>
            </w:r>
            <w:r>
              <w:rPr>
                <w:rFonts w:ascii="Calibri" w:hAnsi="Calibri"/>
                <w:b/>
                <w:color w:val="0B2545"/>
                <w:sz w:val="18"/>
              </w:rPr>
            </w:r>
          </w:p>
        </w:tc>
        <w:tc>
          <w:tcPr>
            <w:tcW w:type="dxa" w:w="13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Public visitor</w:t>
            </w:r>
          </w:p>
        </w:tc>
      </w:tr>
      <w:tr>
        <w:tc>
          <w:tcPr>
            <w:tcW w:type="dxa" w:w="1760"/>
            <w:tcMar>
              <w:top w:w="80" w:type="dxa"/>
              <w:start w:w="120" w:type="dxa"/>
              <w:bottom w:w="80" w:type="dxa"/>
              <w:end w:w="120" w:type="dxa"/>
            </w:tcMar>
            <w:vAlign w:val="center"/>
          </w:tcPr>
          <w:p>
            <w:pPr>
              <w:spacing w:before="0" w:after="0" w:line="259" w:lineRule="auto"/>
            </w:pPr>
            <w:r/>
            <w:r>
              <w:rPr>
                <w:rFonts w:ascii="Calibri" w:hAnsi="Calibri"/>
                <w:b w:val="0"/>
                <w:color w:val="000000"/>
                <w:sz w:val="18"/>
              </w:rPr>
              <w:t>Internal CRUD and finance</w:t>
            </w:r>
          </w:p>
        </w:tc>
        <w:tc>
          <w:tcPr>
            <w:tcW w:type="dxa" w:w="2150"/>
            <w:tcMar>
              <w:top w:w="80" w:type="dxa"/>
              <w:start w:w="120" w:type="dxa"/>
              <w:bottom w:w="80" w:type="dxa"/>
              <w:end w:w="120" w:type="dxa"/>
            </w:tcMar>
            <w:vAlign w:val="center"/>
          </w:tcPr>
          <w:p>
            <w:pPr>
              <w:spacing w:before="0" w:after="0" w:line="259" w:lineRule="auto"/>
            </w:pPr>
            <w:r/>
            <w:r>
              <w:rPr>
                <w:rFonts w:ascii="Calibri" w:hAnsi="Calibri"/>
                <w:b w:val="0"/>
                <w:color w:val="000000"/>
                <w:sz w:val="18"/>
              </w:rPr>
              <w:t>Full access; every action attributable</w:t>
            </w:r>
          </w:p>
        </w:tc>
        <w:tc>
          <w:tcPr>
            <w:tcW w:type="dxa" w:w="2050"/>
            <w:tcMar>
              <w:top w:w="80" w:type="dxa"/>
              <w:start w:w="120" w:type="dxa"/>
              <w:bottom w:w="80" w:type="dxa"/>
              <w:end w:w="120" w:type="dxa"/>
            </w:tcMar>
            <w:vAlign w:val="center"/>
          </w:tcPr>
          <w:p>
            <w:pPr>
              <w:spacing w:before="0" w:after="0" w:line="259" w:lineRule="auto"/>
            </w:pPr>
            <w:r/>
            <w:r>
              <w:rPr>
                <w:rFonts w:ascii="Calibri" w:hAnsi="Calibri"/>
                <w:b w:val="0"/>
                <w:color w:val="000000"/>
                <w:sz w:val="18"/>
              </w:rPr>
              <w:t>No access by default</w:t>
            </w:r>
          </w:p>
        </w:tc>
        <w:tc>
          <w:tcPr>
            <w:tcW w:type="dxa" w:w="2050"/>
            <w:tcMar>
              <w:top w:w="80" w:type="dxa"/>
              <w:start w:w="120" w:type="dxa"/>
              <w:bottom w:w="80" w:type="dxa"/>
              <w:end w:w="120" w:type="dxa"/>
            </w:tcMar>
            <w:vAlign w:val="center"/>
          </w:tcPr>
          <w:p>
            <w:pPr>
              <w:spacing w:before="0" w:after="0" w:line="259" w:lineRule="auto"/>
            </w:pPr>
            <w:r>
              <w:t>No internal-system access</w:t>
            </w:r>
            <w:r>
              <w:rPr>
                <w:rFonts w:ascii="Calibri" w:hAnsi="Calibri"/>
                <w:b w:val="0"/>
                <w:color w:val="000000"/>
                <w:sz w:val="18"/>
              </w:rPr>
            </w:r>
          </w:p>
        </w:tc>
        <w:tc>
          <w:tcPr>
            <w:tcW w:type="dxa" w:w="1350"/>
            <w:tcMar>
              <w:top w:w="80" w:type="dxa"/>
              <w:start w:w="120" w:type="dxa"/>
              <w:bottom w:w="80" w:type="dxa"/>
              <w:end w:w="120" w:type="dxa"/>
            </w:tcMar>
            <w:vAlign w:val="center"/>
          </w:tcPr>
          <w:p>
            <w:pPr>
              <w:spacing w:before="0" w:after="0" w:line="259" w:lineRule="auto"/>
            </w:pPr>
            <w:r/>
            <w:r>
              <w:rPr>
                <w:rFonts w:ascii="Calibri" w:hAnsi="Calibri"/>
                <w:b w:val="0"/>
                <w:color w:val="000000"/>
                <w:sz w:val="18"/>
              </w:rPr>
              <w:t>No access</w:t>
            </w:r>
          </w:p>
        </w:tc>
      </w:tr>
      <w:tr>
        <w:tc>
          <w:tcPr>
            <w:tcW w:type="dxa" w:w="17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Cycle participation</w:t>
            </w:r>
          </w:p>
        </w:tc>
        <w:tc>
          <w:tcPr>
            <w:tcW w:type="dxa" w:w="21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Read/write all cycles; can be a participant</w:t>
            </w:r>
          </w:p>
        </w:tc>
        <w:tc>
          <w:tcPr>
            <w:tcW w:type="dxa" w:w="20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Read only to explicitly granted personal participation/settlement view</w:t>
            </w:r>
          </w:p>
        </w:tc>
        <w:tc>
          <w:tcPr>
            <w:tcW w:type="dxa" w:w="2050"/>
            <w:shd w:fill="FAFBFC"/>
            <w:tcMar>
              <w:top w:w="80" w:type="dxa"/>
              <w:start w:w="120" w:type="dxa"/>
              <w:bottom w:w="80" w:type="dxa"/>
              <w:end w:w="120" w:type="dxa"/>
            </w:tcMar>
            <w:vAlign w:val="center"/>
          </w:tcPr>
          <w:p>
            <w:pPr>
              <w:spacing w:before="0" w:after="0" w:line="259" w:lineRule="auto"/>
            </w:pPr>
            <w:r>
              <w:t>No internal-system access</w:t>
            </w:r>
            <w:r>
              <w:rPr>
                <w:rFonts w:ascii="Calibri" w:hAnsi="Calibri"/>
                <w:b w:val="0"/>
                <w:color w:val="000000"/>
                <w:sz w:val="18"/>
              </w:rPr>
            </w:r>
          </w:p>
        </w:tc>
        <w:tc>
          <w:tcPr>
            <w:tcW w:type="dxa" w:w="13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No access</w:t>
            </w:r>
          </w:p>
        </w:tc>
      </w:tr>
      <w:tr>
        <w:tc>
          <w:tcPr>
            <w:tcW w:type="dxa" w:w="1760"/>
            <w:tcMar>
              <w:top w:w="80" w:type="dxa"/>
              <w:start w:w="120" w:type="dxa"/>
              <w:bottom w:w="80" w:type="dxa"/>
              <w:end w:w="120" w:type="dxa"/>
            </w:tcMar>
            <w:vAlign w:val="center"/>
          </w:tcPr>
          <w:p>
            <w:pPr>
              <w:spacing w:before="0" w:after="0" w:line="259" w:lineRule="auto"/>
            </w:pPr>
            <w:r/>
            <w:r>
              <w:rPr>
                <w:rFonts w:ascii="Calibri" w:hAnsi="Calibri"/>
                <w:b w:val="0"/>
                <w:color w:val="000000"/>
                <w:sz w:val="18"/>
              </w:rPr>
              <w:t>Products / inventory</w:t>
            </w:r>
          </w:p>
        </w:tc>
        <w:tc>
          <w:tcPr>
            <w:tcW w:type="dxa" w:w="2150"/>
            <w:tcMar>
              <w:top w:w="80" w:type="dxa"/>
              <w:start w:w="120" w:type="dxa"/>
              <w:bottom w:w="80" w:type="dxa"/>
              <w:end w:w="120" w:type="dxa"/>
            </w:tcMar>
            <w:vAlign w:val="center"/>
          </w:tcPr>
          <w:p>
            <w:pPr>
              <w:spacing w:before="0" w:after="0" w:line="259" w:lineRule="auto"/>
            </w:pPr>
            <w:r/>
            <w:r>
              <w:rPr>
                <w:rFonts w:ascii="Calibri" w:hAnsi="Calibri"/>
                <w:b w:val="0"/>
                <w:color w:val="000000"/>
                <w:sz w:val="18"/>
              </w:rPr>
              <w:t>Full internal data</w:t>
            </w:r>
          </w:p>
        </w:tc>
        <w:tc>
          <w:tcPr>
            <w:tcW w:type="dxa" w:w="2050"/>
            <w:tcMar>
              <w:top w:w="80" w:type="dxa"/>
              <w:start w:w="120" w:type="dxa"/>
              <w:bottom w:w="80" w:type="dxa"/>
              <w:end w:w="120" w:type="dxa"/>
            </w:tcMar>
            <w:vAlign w:val="center"/>
          </w:tcPr>
          <w:p>
            <w:pPr>
              <w:spacing w:before="0" w:after="0" w:line="259" w:lineRule="auto"/>
            </w:pPr>
            <w:r/>
            <w:r>
              <w:rPr>
                <w:rFonts w:ascii="Calibri" w:hAnsi="Calibri"/>
                <w:b w:val="0"/>
                <w:color w:val="000000"/>
                <w:sz w:val="18"/>
              </w:rPr>
              <w:t>No access</w:t>
            </w:r>
          </w:p>
        </w:tc>
        <w:tc>
          <w:tcPr>
            <w:tcW w:type="dxa" w:w="2050"/>
            <w:tcMar>
              <w:top w:w="80" w:type="dxa"/>
              <w:start w:w="120" w:type="dxa"/>
              <w:bottom w:w="80" w:type="dxa"/>
              <w:end w:w="120" w:type="dxa"/>
            </w:tcMar>
            <w:vAlign w:val="center"/>
          </w:tcPr>
          <w:p>
            <w:pPr>
              <w:spacing w:before="0" w:after="0" w:line="259" w:lineRule="auto"/>
            </w:pPr>
            <w:r>
              <w:t>Customer-portal catalog projection only</w:t>
            </w:r>
            <w:r>
              <w:rPr>
                <w:rFonts w:ascii="Calibri" w:hAnsi="Calibri"/>
                <w:b w:val="0"/>
                <w:color w:val="000000"/>
                <w:sz w:val="18"/>
              </w:rPr>
            </w:r>
          </w:p>
        </w:tc>
        <w:tc>
          <w:tcPr>
            <w:tcW w:type="dxa" w:w="1350"/>
            <w:tcMar>
              <w:top w:w="80" w:type="dxa"/>
              <w:start w:w="120" w:type="dxa"/>
              <w:bottom w:w="80" w:type="dxa"/>
              <w:end w:w="120" w:type="dxa"/>
            </w:tcMar>
            <w:vAlign w:val="center"/>
          </w:tcPr>
          <w:p>
            <w:pPr>
              <w:spacing w:before="0" w:after="0" w:line="259" w:lineRule="auto"/>
            </w:pPr>
            <w:r/>
            <w:r>
              <w:rPr>
                <w:rFonts w:ascii="Calibri" w:hAnsi="Calibri"/>
                <w:b w:val="0"/>
                <w:color w:val="000000"/>
                <w:sz w:val="18"/>
              </w:rPr>
              <w:t>Catalog-safe data only</w:t>
            </w:r>
          </w:p>
        </w:tc>
      </w:tr>
      <w:tr>
        <w:tc>
          <w:tcPr>
            <w:tcW w:type="dxa" w:w="17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Orders and balances</w:t>
            </w:r>
          </w:p>
        </w:tc>
        <w:tc>
          <w:tcPr>
            <w:tcW w:type="dxa" w:w="21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All customers and orders</w:t>
            </w:r>
          </w:p>
        </w:tc>
        <w:tc>
          <w:tcPr>
            <w:tcW w:type="dxa" w:w="20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No access</w:t>
            </w:r>
          </w:p>
        </w:tc>
        <w:tc>
          <w:tcPr>
            <w:tcW w:type="dxa" w:w="2050"/>
            <w:shd w:fill="FAFBFC"/>
            <w:tcMar>
              <w:top w:w="80" w:type="dxa"/>
              <w:start w:w="120" w:type="dxa"/>
              <w:bottom w:w="80" w:type="dxa"/>
              <w:end w:w="120" w:type="dxa"/>
            </w:tcMar>
            <w:vAlign w:val="center"/>
          </w:tcPr>
          <w:p>
            <w:pPr>
              <w:spacing w:before="0" w:after="0" w:line="259" w:lineRule="auto"/>
            </w:pPr>
            <w:r>
              <w:t>Own customer-portal orders, requests, payments and balance only</w:t>
            </w:r>
            <w:r>
              <w:rPr>
                <w:rFonts w:ascii="Calibri" w:hAnsi="Calibri"/>
                <w:b w:val="0"/>
                <w:color w:val="000000"/>
                <w:sz w:val="18"/>
              </w:rPr>
            </w:r>
          </w:p>
        </w:tc>
        <w:tc>
          <w:tcPr>
            <w:tcW w:type="dxa" w:w="13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None</w:t>
            </w:r>
          </w:p>
        </w:tc>
      </w:tr>
      <w:tr>
        <w:tc>
          <w:tcPr>
            <w:tcW w:type="dxa" w:w="1760"/>
            <w:tcMar>
              <w:top w:w="80" w:type="dxa"/>
              <w:start w:w="120" w:type="dxa"/>
              <w:bottom w:w="80" w:type="dxa"/>
              <w:end w:w="120" w:type="dxa"/>
            </w:tcMar>
            <w:vAlign w:val="center"/>
          </w:tcPr>
          <w:p>
            <w:pPr>
              <w:spacing w:before="0" w:after="0" w:line="259" w:lineRule="auto"/>
            </w:pPr>
            <w:r/>
            <w:r>
              <w:rPr>
                <w:rFonts w:ascii="Calibri" w:hAnsi="Calibri"/>
                <w:b w:val="0"/>
                <w:color w:val="000000"/>
                <w:sz w:val="18"/>
              </w:rPr>
              <w:t>Audit logs</w:t>
            </w:r>
          </w:p>
        </w:tc>
        <w:tc>
          <w:tcPr>
            <w:tcW w:type="dxa" w:w="2150"/>
            <w:tcMar>
              <w:top w:w="80" w:type="dxa"/>
              <w:start w:w="120" w:type="dxa"/>
              <w:bottom w:w="80" w:type="dxa"/>
              <w:end w:w="120" w:type="dxa"/>
            </w:tcMar>
            <w:vAlign w:val="center"/>
          </w:tcPr>
          <w:p>
            <w:pPr>
              <w:spacing w:before="0" w:after="0" w:line="259" w:lineRule="auto"/>
            </w:pPr>
            <w:r/>
            <w:r>
              <w:rPr>
                <w:rFonts w:ascii="Calibri" w:hAnsi="Calibri"/>
                <w:b w:val="0"/>
                <w:color w:val="000000"/>
                <w:sz w:val="18"/>
              </w:rPr>
              <w:t>Read all internal audit records</w:t>
            </w:r>
          </w:p>
        </w:tc>
        <w:tc>
          <w:tcPr>
            <w:tcW w:type="dxa" w:w="2050"/>
            <w:tcMar>
              <w:top w:w="80" w:type="dxa"/>
              <w:start w:w="120" w:type="dxa"/>
              <w:bottom w:w="80" w:type="dxa"/>
              <w:end w:w="120" w:type="dxa"/>
            </w:tcMar>
            <w:vAlign w:val="center"/>
          </w:tcPr>
          <w:p>
            <w:pPr>
              <w:spacing w:before="0" w:after="0" w:line="259" w:lineRule="auto"/>
            </w:pPr>
            <w:r/>
            <w:r>
              <w:rPr>
                <w:rFonts w:ascii="Calibri" w:hAnsi="Calibri"/>
                <w:b w:val="0"/>
                <w:color w:val="000000"/>
                <w:sz w:val="18"/>
              </w:rPr>
              <w:t>No access</w:t>
            </w:r>
          </w:p>
        </w:tc>
        <w:tc>
          <w:tcPr>
            <w:tcW w:type="dxa" w:w="2050"/>
            <w:tcMar>
              <w:top w:w="80" w:type="dxa"/>
              <w:start w:w="120" w:type="dxa"/>
              <w:bottom w:w="80" w:type="dxa"/>
              <w:end w:w="120" w:type="dxa"/>
            </w:tcMar>
            <w:vAlign w:val="center"/>
          </w:tcPr>
          <w:p>
            <w:pPr>
              <w:spacing w:before="0" w:after="0" w:line="259" w:lineRule="auto"/>
            </w:pPr>
            <w:r>
              <w:t>No internal-system access</w:t>
            </w:r>
            <w:r>
              <w:rPr>
                <w:rFonts w:ascii="Calibri" w:hAnsi="Calibri"/>
                <w:b w:val="0"/>
                <w:color w:val="000000"/>
                <w:sz w:val="18"/>
              </w:rPr>
            </w:r>
          </w:p>
        </w:tc>
        <w:tc>
          <w:tcPr>
            <w:tcW w:type="dxa" w:w="1350"/>
            <w:tcMar>
              <w:top w:w="80" w:type="dxa"/>
              <w:start w:w="120" w:type="dxa"/>
              <w:bottom w:w="80" w:type="dxa"/>
              <w:end w:w="120" w:type="dxa"/>
            </w:tcMar>
            <w:vAlign w:val="center"/>
          </w:tcPr>
          <w:p>
            <w:pPr>
              <w:spacing w:before="0" w:after="0" w:line="259" w:lineRule="auto"/>
            </w:pPr>
            <w:r/>
            <w:r>
              <w:rPr>
                <w:rFonts w:ascii="Calibri" w:hAnsi="Calibri"/>
                <w:b w:val="0"/>
                <w:color w:val="000000"/>
                <w:sz w:val="18"/>
              </w:rPr>
              <w:t>No access</w:t>
            </w:r>
          </w:p>
        </w:tc>
      </w:tr>
      <w:tr>
        <w:tc>
          <w:tcPr>
            <w:tcW w:type="dxa" w:w="17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Financial detail</w:t>
            </w:r>
          </w:p>
        </w:tc>
        <w:tc>
          <w:tcPr>
            <w:tcW w:type="dxa" w:w="21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All ledger, contribution and settlement data</w:t>
            </w:r>
          </w:p>
        </w:tc>
        <w:tc>
          <w:tcPr>
            <w:tcW w:type="dxa" w:w="20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Own agreement, capital return and net profit only</w:t>
            </w:r>
          </w:p>
        </w:tc>
        <w:tc>
          <w:tcPr>
            <w:tcW w:type="dxa" w:w="2050"/>
            <w:shd w:fill="FAFBFC"/>
            <w:tcMar>
              <w:top w:w="80" w:type="dxa"/>
              <w:start w:w="120" w:type="dxa"/>
              <w:bottom w:w="80" w:type="dxa"/>
              <w:end w:w="120" w:type="dxa"/>
            </w:tcMar>
            <w:vAlign w:val="center"/>
          </w:tcPr>
          <w:p>
            <w:pPr>
              <w:spacing w:before="0" w:after="0" w:line="259" w:lineRule="auto"/>
            </w:pPr>
            <w:r>
              <w:t>No internal-system access</w:t>
            </w:r>
            <w:r>
              <w:rPr>
                <w:rFonts w:ascii="Calibri" w:hAnsi="Calibri"/>
                <w:b w:val="0"/>
                <w:color w:val="000000"/>
                <w:sz w:val="18"/>
              </w:rPr>
            </w:r>
          </w:p>
        </w:tc>
        <w:tc>
          <w:tcPr>
            <w:tcW w:type="dxa" w:w="13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No access</w:t>
            </w:r>
          </w:p>
        </w:tc>
      </w:tr>
    </w:tbl>
    <w:p>
      <w:pPr>
        <w:spacing w:before="0" w:after="80"/>
      </w:pPr>
    </w:p>
    <w:p>
      <w:pPr>
        <w:spacing w:before="0" w:after="160" w:line="264" w:lineRule="auto"/>
      </w:pPr>
      <w:r>
        <w:rPr>
          <w:rFonts w:ascii="Calibri" w:hAnsi="Calibri"/>
          <w:b w:val="0"/>
          <w:i w:val="0"/>
          <w:color w:val="000000"/>
          <w:sz w:val="22"/>
        </w:rPr>
        <w:t>Authorization model: roles grant capability and record-level policies narrow visibility. Core partners have equal operational authority in V1; actions remain attributable and may require typed confirmation. Shop owner accounts exist only on the customer-portal surface and are denied every internal route group, endpoint, audit view, export and navigation item. The API enforces this server-side; hiding controls is not sufficient.</w:t>
      </w:r>
    </w:p>
    <w:p>
      <w:pPr>
        <w:pStyle w:val="Heading2"/>
      </w:pPr>
      <w:r>
        <w:rPr>
          <w:rFonts w:ascii="Calibri" w:hAnsi="Calibri"/>
          <w:b/>
          <w:color w:val="2E74B5"/>
          <w:sz w:val="26"/>
        </w:rPr>
        <w:t>3.1 Explicit Prohibitions</w:t>
      </w:r>
    </w:p>
    <w:p>
      <w:pPr>
        <w:pStyle w:val="ListBullet"/>
        <w:spacing w:before="0" w:after="80" w:line="280" w:lineRule="auto"/>
      </w:pPr>
      <w:r>
        <w:t>Customer-facing endpoints must not expose supplier identities, supplier links, internal SKU cost, landed cost, inventory batch data, partner contributions, profit shares, internal notes, or any internal-system operation. Shop owners must never be authorized to call internal endpoints.</w:t>
      </w:r>
    </w:p>
    <w:p>
      <w:pPr>
        <w:pStyle w:val="ListBullet"/>
        <w:spacing w:before="0" w:after="80" w:line="280" w:lineRule="auto"/>
      </w:pPr>
      <w:r>
        <w:rPr>
          <w:rFonts w:ascii="Calibri" w:hAnsi="Calibri"/>
          <w:color w:val="000000"/>
          <w:sz w:val="21"/>
        </w:rPr>
        <w:t>Temporary investors must not gain general internal access merely because they participate in a cycle.</w:t>
      </w:r>
    </w:p>
    <w:p>
      <w:pPr>
        <w:pStyle w:val="ListBullet"/>
        <w:spacing w:before="0" w:after="80" w:line="280" w:lineRule="auto"/>
      </w:pPr>
      <w:r>
        <w:rPr>
          <w:rFonts w:ascii="Calibri" w:hAnsi="Calibri"/>
          <w:color w:val="000000"/>
          <w:sz w:val="21"/>
        </w:rPr>
        <w:t>No user may hard-delete a financial transaction, inventory movement, sale allocation, settlement, or audit log.</w:t>
      </w:r>
    </w:p>
    <w:p>
      <w:pPr>
        <w:pStyle w:val="ListBullet"/>
        <w:spacing w:before="0" w:after="80" w:line="280" w:lineRule="auto"/>
      </w:pPr>
      <w:r>
        <w:rPr>
          <w:rFonts w:ascii="Calibri" w:hAnsi="Calibri"/>
          <w:color w:val="000000"/>
          <w:sz w:val="21"/>
        </w:rPr>
        <w:t>Pricing changes must create a price history record; historical sale lines retain the price and discount applied at checkout.</w:t>
      </w:r>
    </w:p>
    <w:p>
      <w:pPr>
        <w:pStyle w:val="Heading1"/>
      </w:pPr>
      <w:r>
        <w:rPr>
          <w:rFonts w:ascii="Calibri" w:hAnsi="Calibri"/>
          <w:b/>
          <w:color w:val="2E74B5"/>
          <w:sz w:val="32"/>
        </w:rPr>
        <w:t>4. Domain Model and State Machines</w:t>
      </w:r>
    </w:p>
    <w:p>
      <w:pPr>
        <w:pStyle w:val="Heading2"/>
      </w:pPr>
      <w:r>
        <w:rPr>
          <w:rFonts w:ascii="Calibri" w:hAnsi="Calibri"/>
          <w:b/>
          <w:color w:val="2E74B5"/>
          <w:sz w:val="26"/>
        </w:rPr>
        <w:t>4.1 Import Cycle</w:t>
      </w:r>
    </w:p>
    <w:p>
      <w:pPr>
        <w:spacing w:before="0" w:after="120" w:line="264" w:lineRule="auto"/>
      </w:pPr>
      <w:r>
        <w:rPr>
          <w:rFonts w:ascii="Calibri" w:hAnsi="Calibri"/>
          <w:b w:val="0"/>
          <w:i w:val="0"/>
          <w:color w:val="000000"/>
          <w:sz w:val="22"/>
        </w:rPr>
        <w:t>A cycle represents exactly one physical import shipment and may contain multiple purchase orders. Products in a cycle become saleable only after arrival in Egypt and inventory verification. A China-origin cycle normally has two logistics legs; a UAE-direct cycle has only the UAE-to-Egypt leg.</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750"/>
        <w:gridCol w:w="4070"/>
        <w:gridCol w:w="3540"/>
      </w:tblGrid>
      <w:tr>
        <w:trPr>
          <w:tblHeader w:val="true"/>
        </w:trPr>
        <w:tc>
          <w:tcPr>
            <w:tcW w:type="dxa" w:w="17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Status</w:t>
            </w:r>
          </w:p>
        </w:tc>
        <w:tc>
          <w:tcPr>
            <w:tcW w:type="dxa" w:w="40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Meaning</w:t>
            </w:r>
          </w:p>
        </w:tc>
        <w:tc>
          <w:tcPr>
            <w:tcW w:type="dxa" w:w="354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Allowed next statuses</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8"/>
              </w:rPr>
              <w:t>Planning</w:t>
            </w:r>
          </w:p>
        </w:tc>
        <w:tc>
          <w:tcPr>
            <w:tcW w:type="dxa" w:w="4070"/>
            <w:tcMar>
              <w:top w:w="80" w:type="dxa"/>
              <w:start w:w="120" w:type="dxa"/>
              <w:bottom w:w="80" w:type="dxa"/>
              <w:end w:w="120" w:type="dxa"/>
            </w:tcMar>
            <w:vAlign w:val="center"/>
          </w:tcPr>
          <w:p>
            <w:pPr>
              <w:spacing w:before="0" w:after="0" w:line="259" w:lineRule="auto"/>
            </w:pPr>
            <w:r/>
            <w:r>
              <w:rPr>
                <w:rFonts w:ascii="Calibri" w:hAnsi="Calibri"/>
                <w:b w:val="0"/>
                <w:color w:val="000000"/>
                <w:sz w:val="18"/>
              </w:rPr>
              <w:t>Products, quantities and preliminary costs are being assembled.</w:t>
            </w:r>
          </w:p>
        </w:tc>
        <w:tc>
          <w:tcPr>
            <w:tcW w:type="dxa" w:w="3540"/>
            <w:tcMar>
              <w:top w:w="80" w:type="dxa"/>
              <w:start w:w="120" w:type="dxa"/>
              <w:bottom w:w="80" w:type="dxa"/>
              <w:end w:w="120" w:type="dxa"/>
            </w:tcMar>
            <w:vAlign w:val="center"/>
          </w:tcPr>
          <w:p>
            <w:pPr>
              <w:spacing w:before="0" w:after="0" w:line="259" w:lineRule="auto"/>
            </w:pPr>
            <w:r/>
            <w:r>
              <w:rPr>
                <w:rFonts w:ascii="Calibri" w:hAnsi="Calibri"/>
                <w:b w:val="0"/>
                <w:color w:val="000000"/>
                <w:sz w:val="18"/>
              </w:rPr>
              <w:t>Funding, Cancelled</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Funding</w:t>
            </w:r>
          </w:p>
        </w:tc>
        <w:tc>
          <w:tcPr>
            <w:tcW w:type="dxa" w:w="407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Participant contributions are agreed/recorded.</w:t>
            </w:r>
          </w:p>
        </w:tc>
        <w:tc>
          <w:tcPr>
            <w:tcW w:type="dxa" w:w="354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Purchasing, Planning, Cancelled</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8"/>
              </w:rPr>
              <w:t>Purchasing</w:t>
            </w:r>
          </w:p>
        </w:tc>
        <w:tc>
          <w:tcPr>
            <w:tcW w:type="dxa" w:w="4070"/>
            <w:tcMar>
              <w:top w:w="80" w:type="dxa"/>
              <w:start w:w="120" w:type="dxa"/>
              <w:bottom w:w="80" w:type="dxa"/>
              <w:end w:w="120" w:type="dxa"/>
            </w:tcMar>
            <w:vAlign w:val="center"/>
          </w:tcPr>
          <w:p>
            <w:pPr>
              <w:spacing w:before="0" w:after="0" w:line="259" w:lineRule="auto"/>
            </w:pPr>
            <w:r/>
            <w:r>
              <w:rPr>
                <w:rFonts w:ascii="Calibri" w:hAnsi="Calibri"/>
                <w:b w:val="0"/>
                <w:color w:val="000000"/>
                <w:sz w:val="18"/>
              </w:rPr>
              <w:t>Supplier orders are placed or being finalized.</w:t>
            </w:r>
          </w:p>
        </w:tc>
        <w:tc>
          <w:tcPr>
            <w:tcW w:type="dxa" w:w="3540"/>
            <w:tcMar>
              <w:top w:w="80" w:type="dxa"/>
              <w:start w:w="120" w:type="dxa"/>
              <w:bottom w:w="80" w:type="dxa"/>
              <w:end w:w="120" w:type="dxa"/>
            </w:tcMar>
            <w:vAlign w:val="center"/>
          </w:tcPr>
          <w:p>
            <w:pPr>
              <w:spacing w:before="0" w:after="0" w:line="259" w:lineRule="auto"/>
            </w:pPr>
            <w:r/>
            <w:r>
              <w:rPr>
                <w:rFonts w:ascii="Calibri" w:hAnsi="Calibri"/>
                <w:b w:val="0"/>
                <w:color w:val="000000"/>
                <w:sz w:val="18"/>
              </w:rPr>
              <w:t>In Transit, Arrived UAE, Cancelled</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In Transit</w:t>
            </w:r>
          </w:p>
        </w:tc>
        <w:tc>
          <w:tcPr>
            <w:tcW w:type="dxa" w:w="407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First active logistics leg is in transit.</w:t>
            </w:r>
          </w:p>
        </w:tc>
        <w:tc>
          <w:tcPr>
            <w:tcW w:type="dxa" w:w="354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Arrived UAE, Arrived Egypt</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8"/>
              </w:rPr>
              <w:t>Arrived UAE</w:t>
            </w:r>
          </w:p>
        </w:tc>
        <w:tc>
          <w:tcPr>
            <w:tcW w:type="dxa" w:w="4070"/>
            <w:tcMar>
              <w:top w:w="80" w:type="dxa"/>
              <w:start w:w="120" w:type="dxa"/>
              <w:bottom w:w="80" w:type="dxa"/>
              <w:end w:w="120" w:type="dxa"/>
            </w:tcMar>
            <w:vAlign w:val="center"/>
          </w:tcPr>
          <w:p>
            <w:pPr>
              <w:spacing w:before="0" w:after="0" w:line="259" w:lineRule="auto"/>
            </w:pPr>
            <w:r/>
            <w:r>
              <w:rPr>
                <w:rFonts w:ascii="Calibri" w:hAnsi="Calibri"/>
                <w:b w:val="0"/>
                <w:color w:val="000000"/>
                <w:sz w:val="18"/>
              </w:rPr>
              <w:t>China-to-UAE leg is complete; Egypt leg may commence.</w:t>
            </w:r>
          </w:p>
        </w:tc>
        <w:tc>
          <w:tcPr>
            <w:tcW w:type="dxa" w:w="3540"/>
            <w:tcMar>
              <w:top w:w="80" w:type="dxa"/>
              <w:start w:w="120" w:type="dxa"/>
              <w:bottom w:w="80" w:type="dxa"/>
              <w:end w:w="120" w:type="dxa"/>
            </w:tcMar>
            <w:vAlign w:val="center"/>
          </w:tcPr>
          <w:p>
            <w:pPr>
              <w:spacing w:before="0" w:after="0" w:line="259" w:lineRule="auto"/>
            </w:pPr>
            <w:r/>
            <w:r>
              <w:rPr>
                <w:rFonts w:ascii="Calibri" w:hAnsi="Calibri"/>
                <w:b w:val="0"/>
                <w:color w:val="000000"/>
                <w:sz w:val="18"/>
              </w:rPr>
              <w:t>In Transit to Egypt</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In Transit to Egypt</w:t>
            </w:r>
          </w:p>
        </w:tc>
        <w:tc>
          <w:tcPr>
            <w:tcW w:type="dxa" w:w="407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UAE-to-Egypt leg is in transit.</w:t>
            </w:r>
          </w:p>
        </w:tc>
        <w:tc>
          <w:tcPr>
            <w:tcW w:type="dxa" w:w="354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Arrived Egypt</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8"/>
              </w:rPr>
              <w:t>Arrived Egypt</w:t>
            </w:r>
          </w:p>
        </w:tc>
        <w:tc>
          <w:tcPr>
            <w:tcW w:type="dxa" w:w="4070"/>
            <w:tcMar>
              <w:top w:w="80" w:type="dxa"/>
              <w:start w:w="120" w:type="dxa"/>
              <w:bottom w:w="80" w:type="dxa"/>
              <w:end w:w="120" w:type="dxa"/>
            </w:tcMar>
            <w:vAlign w:val="center"/>
          </w:tcPr>
          <w:p>
            <w:pPr>
              <w:spacing w:before="0" w:after="0" w:line="259" w:lineRule="auto"/>
            </w:pPr>
            <w:r/>
            <w:r>
              <w:rPr>
                <w:rFonts w:ascii="Calibri" w:hAnsi="Calibri"/>
                <w:b w:val="0"/>
                <w:color w:val="000000"/>
                <w:sz w:val="18"/>
              </w:rPr>
              <w:t>Shipment has arrived but is not yet saleable.</w:t>
            </w:r>
          </w:p>
        </w:tc>
        <w:tc>
          <w:tcPr>
            <w:tcW w:type="dxa" w:w="3540"/>
            <w:tcMar>
              <w:top w:w="80" w:type="dxa"/>
              <w:start w:w="120" w:type="dxa"/>
              <w:bottom w:w="80" w:type="dxa"/>
              <w:end w:w="120" w:type="dxa"/>
            </w:tcMar>
            <w:vAlign w:val="center"/>
          </w:tcPr>
          <w:p>
            <w:pPr>
              <w:spacing w:before="0" w:after="0" w:line="259" w:lineRule="auto"/>
            </w:pPr>
            <w:r/>
            <w:r>
              <w:rPr>
                <w:rFonts w:ascii="Calibri" w:hAnsi="Calibri"/>
                <w:b w:val="0"/>
                <w:color w:val="000000"/>
                <w:sz w:val="18"/>
              </w:rPr>
              <w:t>Verification</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Verification</w:t>
            </w:r>
          </w:p>
        </w:tc>
        <w:tc>
          <w:tcPr>
            <w:tcW w:type="dxa" w:w="407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Received quantities/costs are being confirmed.</w:t>
            </w:r>
          </w:p>
        </w:tc>
        <w:tc>
          <w:tcPr>
            <w:tcW w:type="dxa" w:w="354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Selling, Arrived Egypt</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8"/>
              </w:rPr>
              <w:t>Selling</w:t>
            </w:r>
          </w:p>
        </w:tc>
        <w:tc>
          <w:tcPr>
            <w:tcW w:type="dxa" w:w="4070"/>
            <w:tcMar>
              <w:top w:w="80" w:type="dxa"/>
              <w:start w:w="120" w:type="dxa"/>
              <w:bottom w:w="80" w:type="dxa"/>
              <w:end w:w="120" w:type="dxa"/>
            </w:tcMar>
            <w:vAlign w:val="center"/>
          </w:tcPr>
          <w:p>
            <w:pPr>
              <w:spacing w:before="0" w:after="0" w:line="259" w:lineRule="auto"/>
            </w:pPr>
            <w:r/>
            <w:r>
              <w:rPr>
                <w:rFonts w:ascii="Calibri" w:hAnsi="Calibri"/>
                <w:b w:val="0"/>
                <w:color w:val="000000"/>
                <w:sz w:val="18"/>
              </w:rPr>
              <w:t>Verified batches may be sold; receivables are collected.</w:t>
            </w:r>
          </w:p>
        </w:tc>
        <w:tc>
          <w:tcPr>
            <w:tcW w:type="dxa" w:w="3540"/>
            <w:tcMar>
              <w:top w:w="80" w:type="dxa"/>
              <w:start w:w="120" w:type="dxa"/>
              <w:bottom w:w="80" w:type="dxa"/>
              <w:end w:w="120" w:type="dxa"/>
            </w:tcMar>
            <w:vAlign w:val="center"/>
          </w:tcPr>
          <w:p>
            <w:pPr>
              <w:spacing w:before="0" w:after="0" w:line="259" w:lineRule="auto"/>
            </w:pPr>
            <w:r/>
            <w:r>
              <w:rPr>
                <w:rFonts w:ascii="Calibri" w:hAnsi="Calibri"/>
                <w:b w:val="0"/>
                <w:color w:val="000000"/>
                <w:sz w:val="18"/>
              </w:rPr>
              <w:t>Settlement</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Settlement</w:t>
            </w:r>
          </w:p>
        </w:tc>
        <w:tc>
          <w:tcPr>
            <w:tcW w:type="dxa" w:w="407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Final cycle calculation and payout preparation.</w:t>
            </w:r>
          </w:p>
        </w:tc>
        <w:tc>
          <w:tcPr>
            <w:tcW w:type="dxa" w:w="354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Closed, Selling</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8"/>
              </w:rPr>
              <w:t>Closed</w:t>
            </w:r>
          </w:p>
        </w:tc>
        <w:tc>
          <w:tcPr>
            <w:tcW w:type="dxa" w:w="4070"/>
            <w:tcMar>
              <w:top w:w="80" w:type="dxa"/>
              <w:start w:w="120" w:type="dxa"/>
              <w:bottom w:w="80" w:type="dxa"/>
              <w:end w:w="120" w:type="dxa"/>
            </w:tcMar>
            <w:vAlign w:val="center"/>
          </w:tcPr>
          <w:p>
            <w:pPr>
              <w:spacing w:before="0" w:after="0" w:line="259" w:lineRule="auto"/>
            </w:pPr>
            <w:r/>
            <w:r>
              <w:rPr>
                <w:rFonts w:ascii="Calibri" w:hAnsi="Calibri"/>
                <w:b w:val="0"/>
                <w:color w:val="000000"/>
                <w:sz w:val="18"/>
              </w:rPr>
              <w:t>Settlement is locked and fully recorded.</w:t>
            </w:r>
          </w:p>
        </w:tc>
        <w:tc>
          <w:tcPr>
            <w:tcW w:type="dxa" w:w="3540"/>
            <w:tcMar>
              <w:top w:w="80" w:type="dxa"/>
              <w:start w:w="120" w:type="dxa"/>
              <w:bottom w:w="80" w:type="dxa"/>
              <w:end w:w="120" w:type="dxa"/>
            </w:tcMar>
            <w:vAlign w:val="center"/>
          </w:tcPr>
          <w:p>
            <w:pPr>
              <w:spacing w:before="0" w:after="0" w:line="259" w:lineRule="auto"/>
            </w:pPr>
            <w:r/>
            <w:r>
              <w:rPr>
                <w:rFonts w:ascii="Calibri" w:hAnsi="Calibri"/>
                <w:b w:val="0"/>
                <w:color w:val="000000"/>
                <w:sz w:val="18"/>
              </w:rPr>
              <w:t>No normal transition; correction requires reversal/reopen audit flow</w:t>
            </w:r>
          </w:p>
        </w:tc>
      </w:tr>
    </w:tbl>
    <w:p>
      <w:pPr>
        <w:spacing w:before="0" w:after="80"/>
      </w:pPr>
    </w:p>
    <w:p>
      <w:pPr>
        <w:spacing w:before="80" w:after="120" w:line="264" w:lineRule="auto"/>
      </w:pPr>
      <w:r>
        <w:rPr>
          <w:rFonts w:ascii="Calibri" w:hAnsi="Calibri"/>
          <w:b w:val="0"/>
          <w:i w:val="0"/>
          <w:color w:val="000000"/>
          <w:sz w:val="22"/>
        </w:rPr>
        <w:t>System validation: transitions must be executed through a dedicated transition endpoint. The service verifies prerequisites, stores the transition record, writes an audit log, and emits a notification event. A direct database status update is prohibited.</w:t>
      </w:r>
    </w:p>
    <w:p>
      <w:pPr>
        <w:pStyle w:val="Heading2"/>
      </w:pPr>
      <w:r>
        <w:rPr>
          <w:rFonts w:ascii="Calibri" w:hAnsi="Calibri"/>
          <w:b/>
          <w:color w:val="2E74B5"/>
          <w:sz w:val="26"/>
        </w:rPr>
        <w:t>4.2 Order and Payment States</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920"/>
        <w:gridCol w:w="2320"/>
        <w:gridCol w:w="5120"/>
      </w:tblGrid>
      <w:tr>
        <w:trPr>
          <w:tblHeader w:val="true"/>
        </w:trPr>
        <w:tc>
          <w:tcPr>
            <w:tcW w:type="dxa" w:w="192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Aggregate</w:t>
            </w:r>
          </w:p>
        </w:tc>
        <w:tc>
          <w:tcPr>
            <w:tcW w:type="dxa" w:w="232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States</w:t>
            </w:r>
          </w:p>
        </w:tc>
        <w:tc>
          <w:tcPr>
            <w:tcW w:type="dxa" w:w="512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Key rule</w:t>
            </w:r>
          </w:p>
        </w:tc>
      </w:tr>
      <w:tr>
        <w:tc>
          <w:tcPr>
            <w:tcW w:type="dxa" w:w="1920"/>
            <w:tcMar>
              <w:top w:w="80" w:type="dxa"/>
              <w:start w:w="120" w:type="dxa"/>
              <w:bottom w:w="80" w:type="dxa"/>
              <w:end w:w="120" w:type="dxa"/>
            </w:tcMar>
            <w:vAlign w:val="center"/>
          </w:tcPr>
          <w:p>
            <w:pPr>
              <w:spacing w:before="0" w:after="0" w:line="259" w:lineRule="auto"/>
            </w:pPr>
            <w:r/>
            <w:r>
              <w:rPr>
                <w:rFonts w:ascii="Calibri" w:hAnsi="Calibri"/>
                <w:b w:val="0"/>
                <w:color w:val="000000"/>
                <w:sz w:val="18"/>
              </w:rPr>
              <w:t>Sale order</w:t>
            </w:r>
          </w:p>
        </w:tc>
        <w:tc>
          <w:tcPr>
            <w:tcW w:type="dxa" w:w="2320"/>
            <w:tcMar>
              <w:top w:w="80" w:type="dxa"/>
              <w:start w:w="120" w:type="dxa"/>
              <w:bottom w:w="80" w:type="dxa"/>
              <w:end w:w="120" w:type="dxa"/>
            </w:tcMar>
            <w:vAlign w:val="center"/>
          </w:tcPr>
          <w:p>
            <w:pPr>
              <w:spacing w:before="0" w:after="0" w:line="259" w:lineRule="auto"/>
            </w:pPr>
            <w:r/>
            <w:r>
              <w:rPr>
                <w:rFonts w:ascii="Calibri" w:hAnsi="Calibri"/>
                <w:b w:val="0"/>
                <w:color w:val="000000"/>
                <w:sz w:val="18"/>
              </w:rPr>
              <w:t>Draft, Confirmed, Partially Paid, Paid, Cancelled, Returned</w:t>
            </w:r>
          </w:p>
        </w:tc>
        <w:tc>
          <w:tcPr>
            <w:tcW w:type="dxa" w:w="5120"/>
            <w:tcMar>
              <w:top w:w="80" w:type="dxa"/>
              <w:start w:w="120" w:type="dxa"/>
              <w:bottom w:w="80" w:type="dxa"/>
              <w:end w:w="120" w:type="dxa"/>
            </w:tcMar>
            <w:vAlign w:val="center"/>
          </w:tcPr>
          <w:p>
            <w:pPr>
              <w:spacing w:before="0" w:after="0" w:line="259" w:lineRule="auto"/>
            </w:pPr>
            <w:r/>
            <w:r>
              <w:rPr>
                <w:rFonts w:ascii="Calibri" w:hAnsi="Calibri"/>
                <w:b w:val="0"/>
                <w:color w:val="000000"/>
                <w:sz w:val="18"/>
              </w:rPr>
              <w:t>A confirmed order reserves/allocates stock atomically. Financial classification derives from applied payments, not client input.</w:t>
            </w:r>
          </w:p>
        </w:tc>
      </w:tr>
      <w:tr>
        <w:tc>
          <w:tcPr>
            <w:tcW w:type="dxa" w:w="192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Payment</w:t>
            </w:r>
          </w:p>
        </w:tc>
        <w:tc>
          <w:tcPr>
            <w:tcW w:type="dxa" w:w="232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Recorded, Applied, Reversed</w:t>
            </w:r>
          </w:p>
        </w:tc>
        <w:tc>
          <w:tcPr>
            <w:tcW w:type="dxa" w:w="512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 payment may be allocated across one or more sale orders; reversal creates offsetting records and never erases the original.</w:t>
            </w:r>
          </w:p>
        </w:tc>
      </w:tr>
      <w:tr>
        <w:tc>
          <w:tcPr>
            <w:tcW w:type="dxa" w:w="1920"/>
            <w:tcMar>
              <w:top w:w="80" w:type="dxa"/>
              <w:start w:w="120" w:type="dxa"/>
              <w:bottom w:w="80" w:type="dxa"/>
              <w:end w:w="120" w:type="dxa"/>
            </w:tcMar>
            <w:vAlign w:val="center"/>
          </w:tcPr>
          <w:p>
            <w:pPr>
              <w:spacing w:before="0" w:after="0" w:line="259" w:lineRule="auto"/>
            </w:pPr>
            <w:r/>
            <w:r>
              <w:rPr>
                <w:rFonts w:ascii="Calibri" w:hAnsi="Calibri"/>
                <w:b w:val="0"/>
                <w:color w:val="000000"/>
                <w:sz w:val="18"/>
              </w:rPr>
              <w:t>Inventory reservation</w:t>
            </w:r>
          </w:p>
        </w:tc>
        <w:tc>
          <w:tcPr>
            <w:tcW w:type="dxa" w:w="2320"/>
            <w:tcMar>
              <w:top w:w="80" w:type="dxa"/>
              <w:start w:w="120" w:type="dxa"/>
              <w:bottom w:w="80" w:type="dxa"/>
              <w:end w:w="120" w:type="dxa"/>
            </w:tcMar>
            <w:vAlign w:val="center"/>
          </w:tcPr>
          <w:p>
            <w:pPr>
              <w:spacing w:before="0" w:after="0" w:line="259" w:lineRule="auto"/>
            </w:pPr>
            <w:r/>
            <w:r>
              <w:rPr>
                <w:rFonts w:ascii="Calibri" w:hAnsi="Calibri"/>
                <w:b w:val="0"/>
                <w:color w:val="000000"/>
                <w:sz w:val="18"/>
              </w:rPr>
              <w:t>Active, Released, Consumed, Expired</w:t>
            </w:r>
          </w:p>
        </w:tc>
        <w:tc>
          <w:tcPr>
            <w:tcW w:type="dxa" w:w="5120"/>
            <w:tcMar>
              <w:top w:w="80" w:type="dxa"/>
              <w:start w:w="120" w:type="dxa"/>
              <w:bottom w:w="80" w:type="dxa"/>
              <w:end w:w="120" w:type="dxa"/>
            </w:tcMar>
            <w:vAlign w:val="center"/>
          </w:tcPr>
          <w:p>
            <w:pPr>
              <w:spacing w:before="0" w:after="0" w:line="259" w:lineRule="auto"/>
            </w:pPr>
            <w:r/>
            <w:r>
              <w:rPr>
                <w:rFonts w:ascii="Calibri" w:hAnsi="Calibri"/>
                <w:b w:val="0"/>
                <w:color w:val="000000"/>
                <w:sz w:val="18"/>
              </w:rPr>
              <w:t>Reservations reduce available stock but not total stock. Confirmed allocation consumes the reservation.</w:t>
            </w:r>
          </w:p>
        </w:tc>
      </w:tr>
      <w:tr>
        <w:tc>
          <w:tcPr>
            <w:tcW w:type="dxa" w:w="192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Settlement</w:t>
            </w:r>
          </w:p>
        </w:tc>
        <w:tc>
          <w:tcPr>
            <w:tcW w:type="dxa" w:w="232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Draft, Approved, Paid, Reversed</w:t>
            </w:r>
          </w:p>
        </w:tc>
        <w:tc>
          <w:tcPr>
            <w:tcW w:type="dxa" w:w="512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Capital-return and profit lines are stored separately for each participant.</w:t>
            </w:r>
          </w:p>
        </w:tc>
      </w:tr>
    </w:tbl>
    <w:p>
      <w:pPr>
        <w:spacing w:before="0" w:after="80"/>
      </w:pPr>
    </w:p>
    <w:p>
      <w:pPr>
        <w:pStyle w:val="Heading1"/>
      </w:pPr>
      <w:r>
        <w:rPr>
          <w:rFonts w:ascii="Calibri" w:hAnsi="Calibri"/>
          <w:b/>
          <w:color w:val="2E74B5"/>
          <w:sz w:val="32"/>
        </w:rPr>
        <w:t>5. Finalized Business Rules and Decision Gates</w:t>
      </w:r>
    </w:p>
    <w:p>
      <w:pPr>
        <w:pStyle w:val="Heading2"/>
      </w:pPr>
      <w:r>
        <w:rPr>
          <w:rFonts w:ascii="Calibri" w:hAnsi="Calibri"/>
          <w:b/>
          <w:color w:val="2E74B5"/>
          <w:sz w:val="26"/>
        </w:rPr>
        <w:t>5.1 Rules Confirmed by the BRD</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200"/>
        <w:gridCol w:w="8160"/>
      </w:tblGrid>
      <w:tr>
        <w:trPr>
          <w:tblHeader w:val="true"/>
        </w:trPr>
        <w:tc>
          <w:tcPr>
            <w:tcW w:type="dxa" w:w="12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ID</w:t>
            </w:r>
          </w:p>
        </w:tc>
        <w:tc>
          <w:tcPr>
            <w:tcW w:type="dxa" w:w="81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Rule</w:t>
            </w:r>
          </w:p>
        </w:tc>
      </w:tr>
      <w:tr>
        <w:tc>
          <w:tcPr>
            <w:tcW w:type="dxa" w:w="1200"/>
            <w:tcMar>
              <w:top w:w="80" w:type="dxa"/>
              <w:start w:w="120" w:type="dxa"/>
              <w:bottom w:w="80" w:type="dxa"/>
              <w:end w:w="120" w:type="dxa"/>
            </w:tcMar>
            <w:vAlign w:val="center"/>
          </w:tcPr>
          <w:p>
            <w:pPr>
              <w:spacing w:before="0" w:after="0" w:line="259" w:lineRule="auto"/>
            </w:pPr>
            <w:r/>
            <w:r>
              <w:rPr>
                <w:rFonts w:ascii="Calibri" w:hAnsi="Calibri"/>
                <w:b w:val="0"/>
                <w:color w:val="000000"/>
                <w:sz w:val="18"/>
              </w:rPr>
              <w:t>BR-001</w:t>
            </w:r>
          </w:p>
        </w:tc>
        <w:tc>
          <w:tcPr>
            <w:tcW w:type="dxa" w:w="8160"/>
            <w:tcMar>
              <w:top w:w="80" w:type="dxa"/>
              <w:start w:w="120" w:type="dxa"/>
              <w:bottom w:w="80" w:type="dxa"/>
              <w:end w:w="120" w:type="dxa"/>
            </w:tcMar>
            <w:vAlign w:val="center"/>
          </w:tcPr>
          <w:p>
            <w:pPr>
              <w:spacing w:before="0" w:after="0" w:line="259" w:lineRule="auto"/>
            </w:pPr>
            <w:r/>
            <w:r>
              <w:rPr>
                <w:rFonts w:ascii="Calibri" w:hAnsi="Calibri"/>
                <w:b w:val="0"/>
                <w:color w:val="000000"/>
                <w:sz w:val="18"/>
              </w:rPr>
              <w:t>One physical shipment maps to one import cycle; each cycle can contain multiple supplier orders.</w:t>
            </w:r>
          </w:p>
        </w:tc>
      </w:tr>
      <w:tr>
        <w:tc>
          <w:tcPr>
            <w:tcW w:type="dxa" w:w="12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BR-002</w:t>
            </w:r>
          </w:p>
        </w:tc>
        <w:tc>
          <w:tcPr>
            <w:tcW w:type="dxa" w:w="81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China-to-UAE and UAE-to-Egypt are independent shipping legs. UAE-direct purchases use only UAE-to-Egypt.</w:t>
            </w:r>
          </w:p>
        </w:tc>
      </w:tr>
      <w:tr>
        <w:tc>
          <w:tcPr>
            <w:tcW w:type="dxa" w:w="1200"/>
            <w:tcMar>
              <w:top w:w="80" w:type="dxa"/>
              <w:start w:w="120" w:type="dxa"/>
              <w:bottom w:w="80" w:type="dxa"/>
              <w:end w:w="120" w:type="dxa"/>
            </w:tcMar>
            <w:vAlign w:val="center"/>
          </w:tcPr>
          <w:p>
            <w:pPr>
              <w:spacing w:before="0" w:after="0" w:line="259" w:lineRule="auto"/>
            </w:pPr>
            <w:r/>
            <w:r>
              <w:rPr>
                <w:rFonts w:ascii="Calibri" w:hAnsi="Calibri"/>
                <w:b w:val="0"/>
                <w:color w:val="000000"/>
                <w:sz w:val="18"/>
              </w:rPr>
              <w:t>BR-003</w:t>
            </w:r>
          </w:p>
        </w:tc>
        <w:tc>
          <w:tcPr>
            <w:tcW w:type="dxa" w:w="8160"/>
            <w:tcMar>
              <w:top w:w="80" w:type="dxa"/>
              <w:start w:w="120" w:type="dxa"/>
              <w:bottom w:w="80" w:type="dxa"/>
              <w:end w:w="120" w:type="dxa"/>
            </w:tcMar>
            <w:vAlign w:val="center"/>
          </w:tcPr>
          <w:p>
            <w:pPr>
              <w:spacing w:before="0" w:after="0" w:line="259" w:lineRule="auto"/>
            </w:pPr>
            <w:r/>
            <w:r>
              <w:rPr>
                <w:rFonts w:ascii="Calibri" w:hAnsi="Calibri"/>
                <w:b w:val="0"/>
                <w:color w:val="000000"/>
                <w:sz w:val="18"/>
              </w:rPr>
              <w:t>A product can have multiple suppliers and supplier-specific identifiers/links.</w:t>
            </w:r>
          </w:p>
        </w:tc>
      </w:tr>
      <w:tr>
        <w:tc>
          <w:tcPr>
            <w:tcW w:type="dxa" w:w="12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BR-004</w:t>
            </w:r>
          </w:p>
        </w:tc>
        <w:tc>
          <w:tcPr>
            <w:tcW w:type="dxa" w:w="81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Inventory is batch-based. The same product received through separate cycles remains distinguishable by batch and cost.</w:t>
            </w:r>
          </w:p>
        </w:tc>
      </w:tr>
      <w:tr>
        <w:tc>
          <w:tcPr>
            <w:tcW w:type="dxa" w:w="1200"/>
            <w:tcMar>
              <w:top w:w="80" w:type="dxa"/>
              <w:start w:w="120" w:type="dxa"/>
              <w:bottom w:w="80" w:type="dxa"/>
              <w:end w:w="120" w:type="dxa"/>
            </w:tcMar>
            <w:vAlign w:val="center"/>
          </w:tcPr>
          <w:p>
            <w:pPr>
              <w:spacing w:before="0" w:after="0" w:line="259" w:lineRule="auto"/>
            </w:pPr>
            <w:r/>
            <w:r>
              <w:rPr>
                <w:rFonts w:ascii="Calibri" w:hAnsi="Calibri"/>
                <w:b w:val="0"/>
                <w:color w:val="000000"/>
                <w:sz w:val="18"/>
              </w:rPr>
              <w:t>BR-005</w:t>
            </w:r>
          </w:p>
        </w:tc>
        <w:tc>
          <w:tcPr>
            <w:tcW w:type="dxa" w:w="8160"/>
            <w:tcMar>
              <w:top w:w="80" w:type="dxa"/>
              <w:start w:w="120" w:type="dxa"/>
              <w:bottom w:w="80" w:type="dxa"/>
              <w:end w:w="120" w:type="dxa"/>
            </w:tcMar>
            <w:vAlign w:val="center"/>
          </w:tcPr>
          <w:p>
            <w:pPr>
              <w:spacing w:before="0" w:after="0" w:line="259" w:lineRule="auto"/>
            </w:pPr>
            <w:r/>
            <w:r>
              <w:rPr>
                <w:rFonts w:ascii="Calibri" w:hAnsi="Calibri"/>
                <w:b w:val="0"/>
                <w:color w:val="000000"/>
                <w:sz w:val="18"/>
              </w:rPr>
              <w:t>A batch is saleable only after arrival in Egypt and successful verification.</w:t>
            </w:r>
          </w:p>
        </w:tc>
      </w:tr>
      <w:tr>
        <w:tc>
          <w:tcPr>
            <w:tcW w:type="dxa" w:w="12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BR-006</w:t>
            </w:r>
          </w:p>
        </w:tc>
        <w:tc>
          <w:tcPr>
            <w:tcW w:type="dxa" w:w="81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Each sale must retain the inventory batch allocation and cost used for COGS and historical profit calculation.</w:t>
            </w:r>
          </w:p>
        </w:tc>
      </w:tr>
      <w:tr>
        <w:tc>
          <w:tcPr>
            <w:tcW w:type="dxa" w:w="1200"/>
            <w:tcMar>
              <w:top w:w="80" w:type="dxa"/>
              <w:start w:w="120" w:type="dxa"/>
              <w:bottom w:w="80" w:type="dxa"/>
              <w:end w:w="120" w:type="dxa"/>
            </w:tcMar>
            <w:vAlign w:val="center"/>
          </w:tcPr>
          <w:p>
            <w:pPr>
              <w:spacing w:before="0" w:after="0" w:line="259" w:lineRule="auto"/>
            </w:pPr>
            <w:r/>
            <w:r>
              <w:rPr>
                <w:rFonts w:ascii="Calibri" w:hAnsi="Calibri"/>
                <w:b w:val="0"/>
                <w:color w:val="000000"/>
                <w:sz w:val="18"/>
              </w:rPr>
              <w:t>BR-007</w:t>
            </w:r>
          </w:p>
        </w:tc>
        <w:tc>
          <w:tcPr>
            <w:tcW w:type="dxa" w:w="8160"/>
            <w:tcMar>
              <w:top w:w="80" w:type="dxa"/>
              <w:start w:w="120" w:type="dxa"/>
              <w:bottom w:w="80" w:type="dxa"/>
              <w:end w:w="120" w:type="dxa"/>
            </w:tcMar>
            <w:vAlign w:val="center"/>
          </w:tcPr>
          <w:p>
            <w:pPr>
              <w:spacing w:before="0" w:after="0" w:line="259" w:lineRule="auto"/>
            </w:pPr>
            <w:r/>
            <w:r>
              <w:rPr>
                <w:rFonts w:ascii="Calibri" w:hAnsi="Calibri"/>
                <w:b w:val="0"/>
                <w:color w:val="000000"/>
                <w:sz w:val="18"/>
              </w:rPr>
              <w:t>Default cycle profit distribution is proportional to actual participant contribution. An explicit custom distribution may override it.</w:t>
            </w:r>
          </w:p>
        </w:tc>
      </w:tr>
      <w:tr>
        <w:tc>
          <w:tcPr>
            <w:tcW w:type="dxa" w:w="12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BR-008</w:t>
            </w:r>
          </w:p>
        </w:tc>
        <w:tc>
          <w:tcPr>
            <w:tcW w:type="dxa" w:w="81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Temporary-investor fee is deducted from that investor's allocated gross profit, never from capital.</w:t>
            </w:r>
          </w:p>
        </w:tc>
      </w:tr>
      <w:tr>
        <w:tc>
          <w:tcPr>
            <w:tcW w:type="dxa" w:w="1200"/>
            <w:tcMar>
              <w:top w:w="80" w:type="dxa"/>
              <w:start w:w="120" w:type="dxa"/>
              <w:bottom w:w="80" w:type="dxa"/>
              <w:end w:w="120" w:type="dxa"/>
            </w:tcMar>
            <w:vAlign w:val="center"/>
          </w:tcPr>
          <w:p>
            <w:pPr>
              <w:spacing w:before="0" w:after="0" w:line="259" w:lineRule="auto"/>
            </w:pPr>
            <w:r/>
            <w:r>
              <w:rPr>
                <w:rFonts w:ascii="Calibri" w:hAnsi="Calibri"/>
                <w:b w:val="0"/>
                <w:color w:val="000000"/>
                <w:sz w:val="18"/>
              </w:rPr>
              <w:t>BR-009</w:t>
            </w:r>
          </w:p>
        </w:tc>
        <w:tc>
          <w:tcPr>
            <w:tcW w:type="dxa" w:w="8160"/>
            <w:tcMar>
              <w:top w:w="80" w:type="dxa"/>
              <w:start w:w="120" w:type="dxa"/>
              <w:bottom w:w="80" w:type="dxa"/>
              <w:end w:w="120" w:type="dxa"/>
            </w:tcMar>
            <w:vAlign w:val="center"/>
          </w:tcPr>
          <w:p>
            <w:pPr>
              <w:spacing w:before="0" w:after="0" w:line="259" w:lineRule="auto"/>
            </w:pPr>
            <w:r/>
            <w:r>
              <w:rPr>
                <w:rFonts w:ascii="Calibri" w:hAnsi="Calibri"/>
                <w:b w:val="0"/>
                <w:color w:val="000000"/>
                <w:sz w:val="18"/>
              </w:rPr>
              <w:t>Capital return and profit are separate settlement components.</w:t>
            </w:r>
          </w:p>
        </w:tc>
      </w:tr>
      <w:tr>
        <w:tc>
          <w:tcPr>
            <w:tcW w:type="dxa" w:w="12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BR-010</w:t>
            </w:r>
          </w:p>
        </w:tc>
        <w:tc>
          <w:tcPr>
            <w:tcW w:type="dxa" w:w="81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Supplier refunds link to their original purchase and do not overwrite original purchase history.</w:t>
            </w:r>
          </w:p>
        </w:tc>
      </w:tr>
      <w:tr>
        <w:tc>
          <w:tcPr>
            <w:tcW w:type="dxa" w:w="1200"/>
            <w:tcMar>
              <w:top w:w="80" w:type="dxa"/>
              <w:start w:w="120" w:type="dxa"/>
              <w:bottom w:w="80" w:type="dxa"/>
              <w:end w:w="120" w:type="dxa"/>
            </w:tcMar>
            <w:vAlign w:val="center"/>
          </w:tcPr>
          <w:p>
            <w:pPr>
              <w:spacing w:before="0" w:after="0" w:line="259" w:lineRule="auto"/>
            </w:pPr>
            <w:r/>
            <w:r>
              <w:rPr>
                <w:rFonts w:ascii="Calibri" w:hAnsi="Calibri"/>
                <w:b w:val="0"/>
                <w:color w:val="000000"/>
                <w:sz w:val="18"/>
              </w:rPr>
              <w:t>BR-011</w:t>
            </w:r>
          </w:p>
        </w:tc>
        <w:tc>
          <w:tcPr>
            <w:tcW w:type="dxa" w:w="8160"/>
            <w:tcMar>
              <w:top w:w="80" w:type="dxa"/>
              <w:start w:w="120" w:type="dxa"/>
              <w:bottom w:w="80" w:type="dxa"/>
              <w:end w:w="120" w:type="dxa"/>
            </w:tcMar>
            <w:vAlign w:val="center"/>
          </w:tcPr>
          <w:p>
            <w:pPr>
              <w:spacing w:before="0" w:after="0" w:line="259" w:lineRule="auto"/>
            </w:pPr>
            <w:r/>
            <w:r>
              <w:rPr>
                <w:rFonts w:ascii="Calibri" w:hAnsi="Calibri"/>
                <w:b w:val="0"/>
                <w:color w:val="000000"/>
                <w:sz w:val="18"/>
              </w:rPr>
              <w:t>Financial and inventory history are append-only: correction uses a reversal, cancellation or adjustment record.</w:t>
            </w:r>
          </w:p>
        </w:tc>
      </w:tr>
      <w:tr>
        <w:tc>
          <w:tcPr>
            <w:tcW w:type="dxa" w:w="12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BR-012</w:t>
            </w:r>
          </w:p>
        </w:tc>
        <w:tc>
          <w:tcPr>
            <w:tcW w:type="dxa" w:w="81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All important financial, inventory, price, agreement and status changes require actor/time audit records; edits retain old/new values where practical.</w:t>
            </w:r>
          </w:p>
        </w:tc>
      </w:tr>
    </w:tbl>
    <w:p>
      <w:pPr>
        <w:spacing w:before="0" w:after="80"/>
      </w:pPr>
    </w:p>
    <w:p>
      <w:pPr>
        <w:pStyle w:val="Heading2"/>
      </w:pPr>
      <w:r>
        <w:rPr>
          <w:rFonts w:ascii="Calibri" w:hAnsi="Calibri"/>
          <w:b/>
          <w:color w:val="2E74B5"/>
          <w:sz w:val="26"/>
        </w:rPr>
        <w:t>5.2 Decision Gates - Must Be Resolved Before Production</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050"/>
        <w:gridCol w:w="2600"/>
        <w:gridCol w:w="5710"/>
      </w:tblGrid>
      <w:tr>
        <w:trPr>
          <w:tblHeader w:val="true"/>
        </w:trPr>
        <w:tc>
          <w:tcPr>
            <w:tcW w:type="dxa" w:w="10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ID</w:t>
            </w:r>
          </w:p>
        </w:tc>
        <w:tc>
          <w:tcPr>
            <w:tcW w:type="dxa" w:w="26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Decision</w:t>
            </w:r>
          </w:p>
        </w:tc>
        <w:tc>
          <w:tcPr>
            <w:tcW w:type="dxa" w:w="571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Proposed V1 default / release guard</w:t>
            </w:r>
          </w:p>
        </w:tc>
      </w:tr>
      <w:tr>
        <w:tc>
          <w:tcPr>
            <w:tcW w:type="dxa" w:w="1050"/>
            <w:tcMar>
              <w:top w:w="80" w:type="dxa"/>
              <w:start w:w="120" w:type="dxa"/>
              <w:bottom w:w="80" w:type="dxa"/>
              <w:end w:w="120" w:type="dxa"/>
            </w:tcMar>
            <w:vAlign w:val="center"/>
          </w:tcPr>
          <w:p>
            <w:pPr>
              <w:spacing w:before="0" w:after="0" w:line="259" w:lineRule="auto"/>
            </w:pPr>
            <w:r/>
            <w:r>
              <w:rPr>
                <w:rFonts w:ascii="Calibri" w:hAnsi="Calibri"/>
                <w:b w:val="0"/>
                <w:color w:val="000000"/>
                <w:sz w:val="18"/>
              </w:rPr>
              <w:t>DG-001</w:t>
            </w:r>
          </w:p>
        </w:tc>
        <w:tc>
          <w:tcPr>
            <w:tcW w:type="dxa" w:w="2600"/>
            <w:tcMar>
              <w:top w:w="80" w:type="dxa"/>
              <w:start w:w="120" w:type="dxa"/>
              <w:bottom w:w="80" w:type="dxa"/>
              <w:end w:w="120" w:type="dxa"/>
            </w:tcMar>
            <w:vAlign w:val="center"/>
          </w:tcPr>
          <w:p>
            <w:pPr>
              <w:spacing w:before="0" w:after="0" w:line="259" w:lineRule="auto"/>
            </w:pPr>
            <w:r/>
            <w:r>
              <w:rPr>
                <w:rFonts w:ascii="Calibri" w:hAnsi="Calibri"/>
                <w:b w:val="0"/>
                <w:color w:val="000000"/>
                <w:sz w:val="18"/>
              </w:rPr>
              <w:t>Inventory costing method</w:t>
            </w:r>
          </w:p>
        </w:tc>
        <w:tc>
          <w:tcPr>
            <w:tcW w:type="dxa" w:w="5710"/>
            <w:tcMar>
              <w:top w:w="80" w:type="dxa"/>
              <w:start w:w="120" w:type="dxa"/>
              <w:bottom w:w="80" w:type="dxa"/>
              <w:end w:w="120" w:type="dxa"/>
            </w:tcMar>
            <w:vAlign w:val="center"/>
          </w:tcPr>
          <w:p>
            <w:pPr>
              <w:spacing w:before="0" w:after="0" w:line="259" w:lineRule="auto"/>
            </w:pPr>
            <w:r/>
            <w:r>
              <w:rPr>
                <w:rFonts w:ascii="Calibri" w:hAnsi="Calibri"/>
                <w:b w:val="0"/>
                <w:color w:val="000000"/>
                <w:sz w:val="18"/>
              </w:rPr>
              <w:t>Use FIFO allocation by verified batch receipt date, then batch ID as a deterministic tiebreaker. Make the policy a cycle-level configuration only if business requires exceptions; do not allow retroactive switching after a sale.</w:t>
            </w:r>
          </w:p>
        </w:tc>
      </w:tr>
      <w:tr>
        <w:tc>
          <w:tcPr>
            <w:tcW w:type="dxa" w:w="10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DG-002</w:t>
            </w:r>
          </w:p>
        </w:tc>
        <w:tc>
          <w:tcPr>
            <w:tcW w:type="dxa" w:w="26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Sunday installment / overdue policy</w:t>
            </w:r>
          </w:p>
        </w:tc>
        <w:tc>
          <w:tcPr>
            <w:tcW w:type="dxa" w:w="57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Store due dates and payment schedule entries now. Do not automatically mark overdue, apply penalties, or send overdue messages until grace period, cadence, and notification policy are approved.</w:t>
            </w:r>
          </w:p>
        </w:tc>
      </w:tr>
      <w:tr>
        <w:tc>
          <w:tcPr>
            <w:tcW w:type="dxa" w:w="1050"/>
            <w:tcMar>
              <w:top w:w="80" w:type="dxa"/>
              <w:start w:w="120" w:type="dxa"/>
              <w:bottom w:w="80" w:type="dxa"/>
              <w:end w:w="120" w:type="dxa"/>
            </w:tcMar>
            <w:vAlign w:val="center"/>
          </w:tcPr>
          <w:p>
            <w:pPr>
              <w:spacing w:before="0" w:after="0" w:line="259" w:lineRule="auto"/>
            </w:pPr>
            <w:r/>
            <w:r>
              <w:rPr>
                <w:rFonts w:ascii="Calibri" w:hAnsi="Calibri"/>
                <w:b w:val="0"/>
                <w:color w:val="000000"/>
                <w:sz w:val="18"/>
              </w:rPr>
              <w:t>DG-003</w:t>
            </w:r>
          </w:p>
        </w:tc>
        <w:tc>
          <w:tcPr>
            <w:tcW w:type="dxa" w:w="2600"/>
            <w:tcMar>
              <w:top w:w="80" w:type="dxa"/>
              <w:start w:w="120" w:type="dxa"/>
              <w:bottom w:w="80" w:type="dxa"/>
              <w:end w:w="120" w:type="dxa"/>
            </w:tcMar>
            <w:vAlign w:val="center"/>
          </w:tcPr>
          <w:p>
            <w:pPr>
              <w:spacing w:before="0" w:after="0" w:line="259" w:lineRule="auto"/>
            </w:pPr>
            <w:r/>
            <w:r>
              <w:rPr>
                <w:rFonts w:ascii="Calibri" w:hAnsi="Calibri"/>
                <w:b w:val="0"/>
                <w:color w:val="000000"/>
                <w:sz w:val="18"/>
              </w:rPr>
              <w:t>Returns and refunds</w:t>
            </w:r>
          </w:p>
        </w:tc>
        <w:tc>
          <w:tcPr>
            <w:tcW w:type="dxa" w:w="5710"/>
            <w:tcMar>
              <w:top w:w="80" w:type="dxa"/>
              <w:start w:w="120" w:type="dxa"/>
              <w:bottom w:w="80" w:type="dxa"/>
              <w:end w:w="120" w:type="dxa"/>
            </w:tcMar>
            <w:vAlign w:val="center"/>
          </w:tcPr>
          <w:p>
            <w:pPr>
              <w:spacing w:before="0" w:after="0" w:line="259" w:lineRule="auto"/>
            </w:pPr>
            <w:r/>
            <w:r>
              <w:rPr>
                <w:rFonts w:ascii="Calibri" w:hAnsi="Calibri"/>
                <w:b w:val="0"/>
                <w:color w:val="000000"/>
                <w:sz w:val="18"/>
              </w:rPr>
              <w:t>Implement return/refund as an adjustment workflow with reason, original sale reference, payment impact and stock disposition. Keep automatic restock disabled until return-condition policy is defined.</w:t>
            </w:r>
          </w:p>
        </w:tc>
      </w:tr>
      <w:tr>
        <w:tc>
          <w:tcPr>
            <w:tcW w:type="dxa" w:w="10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DG-004</w:t>
            </w:r>
          </w:p>
        </w:tc>
        <w:tc>
          <w:tcPr>
            <w:tcW w:type="dxa" w:w="26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Cycle settlement with remaining inventory</w:t>
            </w:r>
          </w:p>
        </w:tc>
        <w:tc>
          <w:tcPr>
            <w:tcW w:type="dxa" w:w="57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Block final closure when owned inventory remains unless an approved closing treatment is selected: carry-forward, residual valuation, or explicit write-down. Store the selected treatment with settlement.</w:t>
            </w:r>
          </w:p>
        </w:tc>
      </w:tr>
      <w:tr>
        <w:tc>
          <w:tcPr>
            <w:tcW w:type="dxa" w:w="1050"/>
            <w:tcMar>
              <w:top w:w="80" w:type="dxa"/>
              <w:start w:w="120" w:type="dxa"/>
              <w:bottom w:w="80" w:type="dxa"/>
              <w:end w:w="120" w:type="dxa"/>
            </w:tcMar>
            <w:vAlign w:val="center"/>
          </w:tcPr>
          <w:p>
            <w:pPr>
              <w:spacing w:before="0" w:after="0" w:line="259" w:lineRule="auto"/>
            </w:pPr>
            <w:r/>
            <w:r>
              <w:rPr>
                <w:rFonts w:ascii="Calibri" w:hAnsi="Calibri"/>
                <w:b w:val="0"/>
                <w:color w:val="000000"/>
                <w:sz w:val="18"/>
              </w:rPr>
              <w:t>DG-005</w:t>
            </w:r>
          </w:p>
        </w:tc>
        <w:tc>
          <w:tcPr>
            <w:tcW w:type="dxa" w:w="2600"/>
            <w:tcMar>
              <w:top w:w="80" w:type="dxa"/>
              <w:start w:w="120" w:type="dxa"/>
              <w:bottom w:w="80" w:type="dxa"/>
              <w:end w:w="120" w:type="dxa"/>
            </w:tcMar>
            <w:vAlign w:val="center"/>
          </w:tcPr>
          <w:p>
            <w:pPr>
              <w:spacing w:before="0" w:after="0" w:line="259" w:lineRule="auto"/>
            </w:pPr>
            <w:r/>
            <w:r>
              <w:rPr>
                <w:rFonts w:ascii="Calibri" w:hAnsi="Calibri"/>
                <w:b w:val="0"/>
                <w:color w:val="000000"/>
                <w:sz w:val="18"/>
              </w:rPr>
              <w:t>Transfer to general inventory</w:t>
            </w:r>
          </w:p>
        </w:tc>
        <w:tc>
          <w:tcPr>
            <w:tcW w:type="dxa" w:w="5710"/>
            <w:tcMar>
              <w:top w:w="80" w:type="dxa"/>
              <w:start w:w="120" w:type="dxa"/>
              <w:bottom w:w="80" w:type="dxa"/>
              <w:end w:w="120" w:type="dxa"/>
            </w:tcMar>
            <w:vAlign w:val="center"/>
          </w:tcPr>
          <w:p>
            <w:pPr>
              <w:spacing w:before="0" w:after="0" w:line="259" w:lineRule="auto"/>
            </w:pPr>
            <w:r/>
            <w:r>
              <w:rPr>
                <w:rFonts w:ascii="Calibri" w:hAnsi="Calibri"/>
                <w:b w:val="0"/>
                <w:color w:val="000000"/>
                <w:sz w:val="18"/>
              </w:rPr>
              <w:t>Do not transfer batch ownership in V1 unless an approved transfer policy exists. Batches remain attributed to their original cycle while available for sale.</w:t>
            </w:r>
          </w:p>
        </w:tc>
      </w:tr>
      <w:tr>
        <w:tc>
          <w:tcPr>
            <w:tcW w:type="dxa" w:w="10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DG-006</w:t>
            </w:r>
          </w:p>
        </w:tc>
        <w:tc>
          <w:tcPr>
            <w:tcW w:type="dxa" w:w="26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Investor-fee recipient split</w:t>
            </w:r>
          </w:p>
        </w:tc>
        <w:tc>
          <w:tcPr>
            <w:tcW w:type="dxa" w:w="57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Persist fee total at investor level but do not distribute it to core partners automatically. Require a settlement split configuration whose entries total 100%.</w:t>
            </w:r>
          </w:p>
        </w:tc>
      </w:tr>
      <w:tr>
        <w:tc>
          <w:tcPr>
            <w:tcW w:type="dxa" w:w="1050"/>
            <w:tcMar>
              <w:top w:w="80" w:type="dxa"/>
              <w:start w:w="120" w:type="dxa"/>
              <w:bottom w:w="80" w:type="dxa"/>
              <w:end w:w="120" w:type="dxa"/>
            </w:tcMar>
            <w:vAlign w:val="center"/>
          </w:tcPr>
          <w:p>
            <w:pPr>
              <w:spacing w:before="0" w:after="0" w:line="259" w:lineRule="auto"/>
            </w:pPr>
            <w:r/>
            <w:r>
              <w:rPr>
                <w:rFonts w:ascii="Calibri" w:hAnsi="Calibri"/>
                <w:b w:val="0"/>
                <w:color w:val="000000"/>
                <w:sz w:val="18"/>
              </w:rPr>
              <w:t>DG-007</w:t>
            </w:r>
          </w:p>
        </w:tc>
        <w:tc>
          <w:tcPr>
            <w:tcW w:type="dxa" w:w="2600"/>
            <w:tcMar>
              <w:top w:w="80" w:type="dxa"/>
              <w:start w:w="120" w:type="dxa"/>
              <w:bottom w:w="80" w:type="dxa"/>
              <w:end w:w="120" w:type="dxa"/>
            </w:tcMar>
            <w:vAlign w:val="center"/>
          </w:tcPr>
          <w:p>
            <w:pPr>
              <w:spacing w:before="0" w:after="0" w:line="259" w:lineRule="auto"/>
            </w:pPr>
            <w:r/>
            <w:r>
              <w:rPr>
                <w:rFonts w:ascii="Calibri" w:hAnsi="Calibri"/>
                <w:b w:val="0"/>
                <w:color w:val="000000"/>
                <w:sz w:val="18"/>
              </w:rPr>
              <w:t>Accounts and reconciliation</w:t>
            </w:r>
          </w:p>
        </w:tc>
        <w:tc>
          <w:tcPr>
            <w:tcW w:type="dxa" w:w="5710"/>
            <w:tcMar>
              <w:top w:w="80" w:type="dxa"/>
              <w:start w:w="120" w:type="dxa"/>
              <w:bottom w:w="80" w:type="dxa"/>
              <w:end w:w="120" w:type="dxa"/>
            </w:tcMar>
            <w:vAlign w:val="center"/>
          </w:tcPr>
          <w:p>
            <w:pPr>
              <w:spacing w:before="0" w:after="0" w:line="259" w:lineRule="auto"/>
            </w:pPr>
            <w:r/>
            <w:r>
              <w:rPr>
                <w:rFonts w:ascii="Calibri" w:hAnsi="Calibri"/>
                <w:b w:val="0"/>
                <w:color w:val="000000"/>
                <w:sz w:val="18"/>
              </w:rPr>
              <w:t>Create a money-account entity and reconciliation status in the schema. Do not require bank reconciliation for MVP until actual account workflow is approved.</w:t>
            </w:r>
          </w:p>
        </w:tc>
      </w:tr>
    </w:tbl>
    <w:p>
      <w:pPr>
        <w:spacing w:before="0" w:after="80"/>
      </w:pPr>
    </w:p>
    <w:p>
      <w:pPr>
        <w:pStyle w:val="Heading1"/>
      </w:pPr>
      <w:r>
        <w:rPr>
          <w:rFonts w:ascii="Calibri" w:hAnsi="Calibri"/>
          <w:b/>
          <w:color w:val="2E74B5"/>
          <w:sz w:val="32"/>
        </w:rPr>
        <w:t>6. Data Model</w:t>
      </w:r>
    </w:p>
    <w:p>
      <w:pPr>
        <w:spacing w:before="0" w:after="120" w:line="264" w:lineRule="auto"/>
      </w:pPr>
      <w:r>
        <w:rPr>
          <w:rFonts w:ascii="Calibri" w:hAnsi="Calibri"/>
          <w:b w:val="0"/>
          <w:i w:val="0"/>
          <w:color w:val="000000"/>
          <w:sz w:val="22"/>
        </w:rPr>
        <w:t>All primary keys are UUIDs. All tables include created_at, created_by where applicable, updated_at, and a version column for optimistic concurrency. Monetary values use NUMERIC(18,2) in their currency and NUMERIC(18,4) for exchange rates and unit costs. Quantity uses NUMERIC(18,3) to allow future non-integer packaging; current UI may enforce whole units. Timestamps are stored in UTC; dates such as order date are local business dates.</w:t>
      </w:r>
    </w:p>
    <w:p>
      <w:pPr>
        <w:pStyle w:val="Heading2"/>
      </w:pPr>
      <w:r>
        <w:rPr>
          <w:rFonts w:ascii="Calibri" w:hAnsi="Calibri"/>
          <w:b/>
          <w:color w:val="2E74B5"/>
          <w:sz w:val="26"/>
        </w:rPr>
        <w:t>6.1 Identity, Catalog, and Relationships</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750"/>
        <w:gridCol w:w="4100"/>
        <w:gridCol w:w="3510"/>
      </w:tblGrid>
      <w:tr>
        <w:trPr>
          <w:tblHeader w:val="true"/>
        </w:trPr>
        <w:tc>
          <w:tcPr>
            <w:tcW w:type="dxa" w:w="17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Table</w:t>
            </w:r>
          </w:p>
        </w:tc>
        <w:tc>
          <w:tcPr>
            <w:tcW w:type="dxa" w:w="4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Key columns</w:t>
            </w:r>
          </w:p>
        </w:tc>
        <w:tc>
          <w:tcPr>
            <w:tcW w:type="dxa" w:w="351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Constraints / notes</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users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email, password_hash, role, status, last_login_at</w:t>
            </w:r>
          </w:p>
        </w:tc>
        <w:tc>
          <w:tcPr>
            <w:tcW w:type="dxa" w:w="3510"/>
            <w:tcMar>
              <w:top w:w="80" w:type="dxa"/>
              <w:start w:w="120" w:type="dxa"/>
              <w:bottom w:w="80" w:type="dxa"/>
              <w:end w:w="120" w:type="dxa"/>
            </w:tcMar>
            <w:vAlign w:val="center"/>
          </w:tcPr>
          <w:p>
            <w:pPr>
              <w:spacing w:before="0" w:after="0" w:line="259" w:lineRule="auto"/>
            </w:pPr>
            <w:r>
              <w:t>Internal roles: CORE_PARTNER, TEMP_INVESTOR, ADMIN_SUPPORT (optional). SHOP_OWNER_PORTAL identity is limited to the customer-portal surface and is denied internal authorization.</w:t>
            </w:r>
            <w:r>
              <w:rPr>
                <w:rFonts w:ascii="Calibri" w:hAnsi="Calibri"/>
                <w:b w:val="0"/>
                <w:color w:val="000000"/>
                <w:sz w:val="17"/>
              </w:rPr>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partners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user_id, display_name, active</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One profile per core partner. V1 starts with three active core partners.</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customers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type, display_name, phone, email, shop_owner_user_id, verification_status</w:t>
            </w:r>
          </w:p>
        </w:tc>
        <w:tc>
          <w:tcPr>
            <w:tcW w:type="dxa" w:w="3510"/>
            <w:tcMar>
              <w:top w:w="80" w:type="dxa"/>
              <w:start w:w="120" w:type="dxa"/>
              <w:bottom w:w="80" w:type="dxa"/>
              <w:end w:w="120" w:type="dxa"/>
            </w:tcMar>
            <w:vAlign w:val="center"/>
          </w:tcPr>
          <w:p>
            <w:pPr>
              <w:spacing w:before="0" w:after="0" w:line="259" w:lineRule="auto"/>
            </w:pPr>
            <w:r>
              <w:t>Type B2B or B2C; a portal-only shop account links only to a verified B2B customer record.</w:t>
            </w:r>
            <w:r>
              <w:rPr>
                <w:rFonts w:ascii="Calibri" w:hAnsi="Calibri"/>
                <w:b w:val="0"/>
                <w:color w:val="000000"/>
                <w:sz w:val="17"/>
              </w:rPr>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suppliers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name, country, contact_json, notes</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Supplier data is internal-only.</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products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sku, name, category_id, description, barcode_nullable, status, min_stock</w:t>
            </w:r>
          </w:p>
        </w:tc>
        <w:tc>
          <w:tcPr>
            <w:tcW w:type="dxa" w:w="3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System-generated unique SKU; barcode nullable and indexed for future use.</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product_suppliers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product_id, supplier_id, supplier_sku, source_url, preferred</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Unique product/supplier/supplier_sku combination.</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motorcycle_models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make, model, year_from, year_to</w:t>
            </w:r>
          </w:p>
        </w:tc>
        <w:tc>
          <w:tcPr>
            <w:tcW w:type="dxa" w:w="3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Compatibility is normalized, not free-text only.</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product_compatibilities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product_id, motorcycle_model_id, notes</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Unique product/model pair.</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product_prices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product_id, channel, currency, amount, effective_from, effective_to</w:t>
            </w:r>
          </w:p>
        </w:tc>
        <w:tc>
          <w:tcPr>
            <w:tcW w:type="dxa" w:w="3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Channel B2B/B2C; immutable effective-dated price history.</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file_assets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owner_type, owner_id, object_key, mime_type, size_bytes</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Object key only; API authorizes signed read URLs.</w:t>
            </w:r>
          </w:p>
        </w:tc>
      </w:tr>
    </w:tbl>
    <w:p>
      <w:pPr>
        <w:spacing w:before="0" w:after="80"/>
      </w:pPr>
    </w:p>
    <w:p>
      <w:pPr>
        <w:pStyle w:val="Heading2"/>
      </w:pPr>
      <w:r>
        <w:rPr>
          <w:rFonts w:ascii="Calibri" w:hAnsi="Calibri"/>
          <w:b/>
          <w:color w:val="2E74B5"/>
          <w:sz w:val="26"/>
        </w:rPr>
        <w:t>6.2 Supply Chain and Inventory</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750"/>
        <w:gridCol w:w="4100"/>
        <w:gridCol w:w="3510"/>
      </w:tblGrid>
      <w:tr>
        <w:trPr>
          <w:tblHeader w:val="true"/>
        </w:trPr>
        <w:tc>
          <w:tcPr>
            <w:tcW w:type="dxa" w:w="17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Table</w:t>
            </w:r>
          </w:p>
        </w:tc>
        <w:tc>
          <w:tcPr>
            <w:tcW w:type="dxa" w:w="4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Key columns</w:t>
            </w:r>
          </w:p>
        </w:tc>
        <w:tc>
          <w:tcPr>
            <w:tcW w:type="dxa" w:w="351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Constraints / notes</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import_cycles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code, status, origin_type, currency, started_on, closed_on</w:t>
            </w:r>
          </w:p>
        </w:tc>
        <w:tc>
          <w:tcPr>
            <w:tcW w:type="dxa" w:w="3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Unique human-readable code; origin type CHINA or UAE_DIRECT.</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cycle_participants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cycle_id, participant_type, partner_user_id/investor_user_id, contribution_amount, custom_profit_pct, investor_fee_pct</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Exactly one participant reference by type; custom distribution entries validated at settlement.</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purchase_orders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cycle_id, supplier_id, reference, currency, fx_rate_to_egp, ordered_on, status</w:t>
            </w:r>
          </w:p>
        </w:tc>
        <w:tc>
          <w:tcPr>
            <w:tcW w:type="dxa" w:w="3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Multiple orders per cycle. Immutable reference data after receipt; corrections via adjustments.</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purchase_order_items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purchase_order_id, product_id, ordered_qty, received_qty, unit_price, discount, line_total</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Received quantity comes from verification, never assumed equal to ordered quantity.</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supplier_refunds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purchase_order_id, amount, currency, fx_rate_to_egp, reason, recorded_on</w:t>
            </w:r>
          </w:p>
        </w:tc>
        <w:tc>
          <w:tcPr>
            <w:tcW w:type="dxa" w:w="3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Must link to original PO; posts an offsetting financial event.</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shipping_legs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cycle_id, sequence, origin, destination, provider, tracking_ref, status, departed_on, arrived_on, amount</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Sequence 1 China-&gt;UAE and sequence 2 UAE-&gt;Egypt when applicable; amount may be zero until known.</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inventory_batches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cycle_id, product_id, source_po_item_id, received_qty, remaining_qty, reserved_qty, saleable_qty, landed_unit_cost_egp, verification_status</w:t>
            </w:r>
          </w:p>
        </w:tc>
        <w:tc>
          <w:tcPr>
            <w:tcW w:type="dxa" w:w="3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Batch created during verification; unique source receipt line. saleable_qty is derived / persisted safely.</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inventory_movements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batch_id, movement_type, qty_delta, reference_type, reference_id, occurred_at</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Append-only. Types: RECEIVE, RESERVE, RELEASE, SALE, RETURN, ADJUSTMENT, WRITE_OFF.</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inventory_reservations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batch_id, sale_order_id, qty, status, expires_at</w:t>
            </w:r>
          </w:p>
        </w:tc>
        <w:tc>
          <w:tcPr>
            <w:tcW w:type="dxa" w:w="3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Active reservations participate in available-stock calculation.</w:t>
            </w:r>
          </w:p>
        </w:tc>
      </w:tr>
    </w:tbl>
    <w:p>
      <w:pPr>
        <w:spacing w:before="0" w:after="80"/>
      </w:pPr>
    </w:p>
    <w:p>
      <w:pPr>
        <w:pStyle w:val="Heading2"/>
      </w:pPr>
      <w:r>
        <w:rPr>
          <w:rFonts w:ascii="Calibri" w:hAnsi="Calibri"/>
          <w:b/>
          <w:color w:val="2E74B5"/>
          <w:sz w:val="26"/>
        </w:rPr>
        <w:t>6.3 Sales, Finance, and Governance</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750"/>
        <w:gridCol w:w="4100"/>
        <w:gridCol w:w="3510"/>
      </w:tblGrid>
      <w:tr>
        <w:trPr>
          <w:tblHeader w:val="true"/>
        </w:trPr>
        <w:tc>
          <w:tcPr>
            <w:tcW w:type="dxa" w:w="17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Table</w:t>
            </w:r>
          </w:p>
        </w:tc>
        <w:tc>
          <w:tcPr>
            <w:tcW w:type="dxa" w:w="4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Key columns</w:t>
            </w:r>
          </w:p>
        </w:tc>
        <w:tc>
          <w:tcPr>
            <w:tcW w:type="dxa" w:w="351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Constraints / notes</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sale_orders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order_no, customer_id, channel, status, currency, subtotal, discount, total, outstanding, ordered_at</w:t>
            </w:r>
          </w:p>
        </w:tc>
        <w:tc>
          <w:tcPr>
            <w:tcW w:type="dxa" w:w="3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Order header stores financial snapshot and is recalculated only by server transaction.</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sale_items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sale_order_id, product_id, quantity, unit_price, discount, line_total</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Price snapshot is immutable after confirmation.</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sale_item_allocations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sale_item_id, inventory_batch_id, qty, unit_cost_egp, cogs_egp</w:t>
            </w:r>
          </w:p>
        </w:tc>
        <w:tc>
          <w:tcPr>
            <w:tcW w:type="dxa" w:w="3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One sale item may allocate across multiple FIFO batches; preserves COGS provenance.</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payments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customer_id, amount, currency, received_on, method, reference, status</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Payment is recorded separately from allocation.</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payment_allocations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payment_id, sale_order_id, amount</w:t>
            </w:r>
          </w:p>
        </w:tc>
        <w:tc>
          <w:tcPr>
            <w:tcW w:type="dxa" w:w="3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Sum per payment cannot exceed active payment amount; powers outstanding balance.</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financial_transactions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type, category, direction, amount, currency, fx_rate_to_egp, account_id, cycle_id, related_type, related_id, reversal_of_id</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Append-only financial ledger. Direction INFLOW/OUTFLOW; original and reversal remain visible.</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money_accounts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name, account_type, currency, active</w:t>
            </w:r>
          </w:p>
        </w:tc>
        <w:tc>
          <w:tcPr>
            <w:tcW w:type="dxa" w:w="3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Schema supports cash/bank/wallet accounts; configuration may remain simple in V1.</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settlements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cycle_id, status, calculated_at, approved_at, paid_at</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One active settlement per cycle; reversal creates a new version / reference.</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settlement_lines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settlement_id, participant_id, component, amount, fee_amount, recipient_participant_id</w:t>
            </w:r>
          </w:p>
        </w:tc>
        <w:tc>
          <w:tcPr>
            <w:tcW w:type="dxa" w:w="3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Components CAPITAL_RETURN, GROSS_PROFIT, INVESTOR_FEE, NET_PROFIT, ADJUSTMENT.</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notifications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user_id, event_type, title, payload_json, read_at</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V1 in-app records; external delivery adapter later.</w:t>
            </w:r>
          </w:p>
        </w:tc>
      </w:tr>
      <w:tr>
        <w:tc>
          <w:tcPr>
            <w:tcW w:type="dxa" w:w="1750"/>
            <w:tcMar>
              <w:top w:w="80" w:type="dxa"/>
              <w:start w:w="120" w:type="dxa"/>
              <w:bottom w:w="80" w:type="dxa"/>
              <w:end w:w="120" w:type="dxa"/>
            </w:tcMar>
            <w:vAlign w:val="center"/>
          </w:tcPr>
          <w:p>
            <w:pPr>
              <w:spacing w:before="0" w:after="0" w:line="259" w:lineRule="auto"/>
            </w:pPr>
            <w:r/>
            <w:r>
              <w:rPr>
                <w:rFonts w:ascii="Calibri" w:hAnsi="Calibri"/>
                <w:b w:val="0"/>
                <w:color w:val="000000"/>
                <w:sz w:val="17"/>
              </w:rPr>
              <w:t>audit_logs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actor_user_id, action, entity_type, entity_id, before_json, after_json, correlation_id, occurred_at</w:t>
            </w:r>
          </w:p>
        </w:tc>
        <w:tc>
          <w:tcPr>
            <w:tcW w:type="dxa" w:w="3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Write-only by application service; partition/retain per policy.</w:t>
            </w:r>
          </w:p>
        </w:tc>
      </w:tr>
      <w:tr>
        <w:tc>
          <w:tcPr>
            <w:tcW w:type="dxa" w:w="17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product_requests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id, customer_id, product_name, compatibility_text, quantity, notes, asset_id, supplier_url, status</w:t>
            </w:r>
          </w:p>
        </w:tc>
        <w:tc>
          <w:tcPr>
            <w:tcW w:type="dxa" w:w="3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Phase 2 demand signal; can link to a planned cycle or PO item.</w:t>
            </w:r>
          </w:p>
        </w:tc>
      </w:tr>
    </w:tbl>
    <w:p>
      <w:pPr>
        <w:spacing w:before="0" w:after="80"/>
      </w:pPr>
    </w:p>
    <w:p>
      <w:pPr>
        <w:pStyle w:val="Heading2"/>
      </w:pPr>
      <w:r>
        <w:rPr>
          <w:rFonts w:ascii="Calibri" w:hAnsi="Calibri"/>
          <w:b/>
          <w:color w:val="2E74B5"/>
          <w:sz w:val="26"/>
        </w:rPr>
        <w:t>6.4 Core Relationships and Integrity</w:t>
      </w:r>
    </w:p>
    <w:p>
      <w:pPr>
        <w:pStyle w:val="ListBullet"/>
        <w:spacing w:before="0" w:after="80" w:line="280" w:lineRule="auto"/>
      </w:pPr>
      <w:r>
        <w:rPr>
          <w:rFonts w:ascii="Calibri" w:hAnsi="Calibri"/>
          <w:color w:val="000000"/>
          <w:sz w:val="21"/>
        </w:rPr>
        <w:t>import_cycles 1:N purchase_orders, shipping_legs, cycle_participants, inventory_batches, financial_transactions, and settlements.</w:t>
      </w:r>
    </w:p>
    <w:p>
      <w:pPr>
        <w:pStyle w:val="ListBullet"/>
        <w:spacing w:before="0" w:after="80" w:line="280" w:lineRule="auto"/>
      </w:pPr>
      <w:r>
        <w:rPr>
          <w:rFonts w:ascii="Calibri" w:hAnsi="Calibri"/>
          <w:color w:val="000000"/>
          <w:sz w:val="21"/>
        </w:rPr>
        <w:t>purchase_orders 1:N purchase_order_items; purchase_order_items are the traceable source for received inventory batches.</w:t>
      </w:r>
    </w:p>
    <w:p>
      <w:pPr>
        <w:pStyle w:val="ListBullet"/>
        <w:spacing w:before="0" w:after="80" w:line="280" w:lineRule="auto"/>
      </w:pPr>
      <w:r>
        <w:rPr>
          <w:rFonts w:ascii="Calibri" w:hAnsi="Calibri"/>
          <w:color w:val="000000"/>
          <w:sz w:val="21"/>
        </w:rPr>
        <w:t>products 1:N inventory_batches and sale_items. A product is never identified only by a supplier listing.</w:t>
      </w:r>
    </w:p>
    <w:p>
      <w:pPr>
        <w:pStyle w:val="ListBullet"/>
        <w:spacing w:before="0" w:after="80" w:line="280" w:lineRule="auto"/>
      </w:pPr>
      <w:r>
        <w:rPr>
          <w:rFonts w:ascii="Calibri" w:hAnsi="Calibri"/>
          <w:color w:val="000000"/>
          <w:sz w:val="21"/>
        </w:rPr>
        <w:t>sale_items 1:N sale_item_allocations; allocations reference verified, saleable inventory batches only.</w:t>
      </w:r>
    </w:p>
    <w:p>
      <w:pPr>
        <w:pStyle w:val="ListBullet"/>
        <w:spacing w:before="0" w:after="80" w:line="280" w:lineRule="auto"/>
      </w:pPr>
      <w:r>
        <w:rPr>
          <w:rFonts w:ascii="Calibri" w:hAnsi="Calibri"/>
          <w:color w:val="000000"/>
          <w:sz w:val="21"/>
        </w:rPr>
        <w:t>payments N:M sale_orders through payment_allocations. Outstanding balance is total order amount minus active allocations minus approved credit notes.</w:t>
      </w:r>
    </w:p>
    <w:p>
      <w:pPr>
        <w:pStyle w:val="ListBullet"/>
        <w:spacing w:before="0" w:after="80" w:line="280" w:lineRule="auto"/>
      </w:pPr>
      <w:r>
        <w:rPr>
          <w:rFonts w:ascii="Calibri" w:hAnsi="Calibri"/>
          <w:color w:val="000000"/>
          <w:sz w:val="21"/>
        </w:rPr>
        <w:t>Every state-changing service writes an audit_log in the same transaction as the changed aggregate and related movement/ledger rows.</w:t>
      </w:r>
    </w:p>
    <w:p>
      <w:pPr>
        <w:pStyle w:val="Heading1"/>
      </w:pPr>
      <w:r>
        <w:rPr>
          <w:rFonts w:ascii="Calibri" w:hAnsi="Calibri"/>
          <w:b/>
          <w:color w:val="2E74B5"/>
          <w:sz w:val="32"/>
        </w:rPr>
        <w:t>7. Inventory, Costing, and Financial Calculations</w:t>
      </w:r>
    </w:p>
    <w:p>
      <w:pPr>
        <w:pStyle w:val="Heading2"/>
      </w:pPr>
      <w:r>
        <w:rPr>
          <w:rFonts w:ascii="Calibri" w:hAnsi="Calibri"/>
          <w:b/>
          <w:color w:val="2E74B5"/>
          <w:sz w:val="26"/>
        </w:rPr>
        <w:t>7.1 Inventory Formulas and Transaction Rules</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450"/>
        <w:gridCol w:w="6910"/>
      </w:tblGrid>
      <w:tr>
        <w:trPr>
          <w:tblHeader w:val="true"/>
        </w:trPr>
        <w:tc>
          <w:tcPr>
            <w:tcW w:type="dxa" w:w="24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Measure</w:t>
            </w:r>
          </w:p>
        </w:tc>
        <w:tc>
          <w:tcPr>
            <w:tcW w:type="dxa" w:w="691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Formula / behavior</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b w:val="0"/>
                <w:color w:val="000000"/>
                <w:sz w:val="18"/>
              </w:rPr>
              <w:t>Total stock</w:t>
            </w:r>
          </w:p>
        </w:tc>
        <w:tc>
          <w:tcPr>
            <w:tcW w:type="dxa" w:w="6910"/>
            <w:tcMar>
              <w:top w:w="80" w:type="dxa"/>
              <w:start w:w="120" w:type="dxa"/>
              <w:bottom w:w="80" w:type="dxa"/>
              <w:end w:w="120" w:type="dxa"/>
            </w:tcMar>
            <w:vAlign w:val="center"/>
          </w:tcPr>
          <w:p>
            <w:pPr>
              <w:spacing w:before="0" w:after="0" w:line="259" w:lineRule="auto"/>
            </w:pPr>
            <w:r/>
            <w:r>
              <w:rPr>
                <w:rFonts w:ascii="Calibri" w:hAnsi="Calibri"/>
                <w:b w:val="0"/>
                <w:color w:val="000000"/>
                <w:sz w:val="18"/>
              </w:rPr>
              <w:t>SUM(received and positive adjustments) - SUM(sales, write-offs and negative adjustments). It includes reserved stock.</w:t>
            </w:r>
          </w:p>
        </w:tc>
      </w:tr>
      <w:tr>
        <w:tc>
          <w:tcPr>
            <w:tcW w:type="dxa" w:w="24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Reserved stock</w:t>
            </w:r>
          </w:p>
        </w:tc>
        <w:tc>
          <w:tcPr>
            <w:tcW w:type="dxa" w:w="69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SUM(active inventory_reservations.qty) for verified saleable batches.</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b w:val="0"/>
                <w:color w:val="000000"/>
                <w:sz w:val="18"/>
              </w:rPr>
              <w:t>Available stock</w:t>
            </w:r>
          </w:p>
        </w:tc>
        <w:tc>
          <w:tcPr>
            <w:tcW w:type="dxa" w:w="6910"/>
            <w:tcMar>
              <w:top w:w="80" w:type="dxa"/>
              <w:start w:w="120" w:type="dxa"/>
              <w:bottom w:w="80" w:type="dxa"/>
              <w:end w:w="120" w:type="dxa"/>
            </w:tcMar>
            <w:vAlign w:val="center"/>
          </w:tcPr>
          <w:p>
            <w:pPr>
              <w:spacing w:before="0" w:after="0" w:line="259" w:lineRule="auto"/>
            </w:pPr>
            <w:r/>
            <w:r>
              <w:rPr>
                <w:rFonts w:ascii="Calibri" w:hAnsi="Calibri"/>
                <w:b w:val="0"/>
                <w:color w:val="000000"/>
                <w:sz w:val="18"/>
              </w:rPr>
              <w:t>Total stock - Reserved stock. The API returns this as a server-calculated value; client-side arithmetic is non-authoritative.</w:t>
            </w:r>
          </w:p>
        </w:tc>
      </w:tr>
      <w:tr>
        <w:tc>
          <w:tcPr>
            <w:tcW w:type="dxa" w:w="24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Batch remaining</w:t>
            </w:r>
          </w:p>
        </w:tc>
        <w:tc>
          <w:tcPr>
            <w:tcW w:type="dxa" w:w="69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Received quantity + all batch movement qty_delta. It must never fall below zero.</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b w:val="0"/>
                <w:color w:val="000000"/>
                <w:sz w:val="18"/>
              </w:rPr>
              <w:t>FIFO candidate ordering</w:t>
            </w:r>
          </w:p>
        </w:tc>
        <w:tc>
          <w:tcPr>
            <w:tcW w:type="dxa" w:w="6910"/>
            <w:tcMar>
              <w:top w:w="80" w:type="dxa"/>
              <w:start w:w="120" w:type="dxa"/>
              <w:bottom w:w="80" w:type="dxa"/>
              <w:end w:w="120" w:type="dxa"/>
            </w:tcMar>
            <w:vAlign w:val="center"/>
          </w:tcPr>
          <w:p>
            <w:pPr>
              <w:spacing w:before="0" w:after="0" w:line="259" w:lineRule="auto"/>
            </w:pPr>
            <w:r/>
            <w:r>
              <w:rPr>
                <w:rFonts w:ascii="Calibri" w:hAnsi="Calibri"/>
                <w:b w:val="0"/>
                <w:color w:val="000000"/>
                <w:sz w:val="18"/>
              </w:rPr>
              <w:t>Verified, saleable batches with available quantity &gt; 0, sorted received_at ASC then batch ID ASC. Only batches belonging to the product are eligible.</w:t>
            </w:r>
          </w:p>
        </w:tc>
      </w:tr>
      <w:tr>
        <w:tc>
          <w:tcPr>
            <w:tcW w:type="dxa" w:w="24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Sale allocation</w:t>
            </w:r>
          </w:p>
        </w:tc>
        <w:tc>
          <w:tcPr>
            <w:tcW w:type="dxa" w:w="69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Within one serializable database transaction, lock eligible batch rows, allocate FIFO quantities, create reservation or sale movements, create allocation rows, and recalculate batch balances.</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b w:val="0"/>
                <w:color w:val="000000"/>
                <w:sz w:val="18"/>
              </w:rPr>
              <w:t>Concurrency protection</w:t>
            </w:r>
          </w:p>
        </w:tc>
        <w:tc>
          <w:tcPr>
            <w:tcW w:type="dxa" w:w="6910"/>
            <w:tcMar>
              <w:top w:w="80" w:type="dxa"/>
              <w:start w:w="120" w:type="dxa"/>
              <w:bottom w:w="80" w:type="dxa"/>
              <w:end w:w="120" w:type="dxa"/>
            </w:tcMar>
            <w:vAlign w:val="center"/>
          </w:tcPr>
          <w:p>
            <w:pPr>
              <w:spacing w:before="0" w:after="0" w:line="259" w:lineRule="auto"/>
            </w:pPr>
            <w:r/>
            <w:r>
              <w:rPr>
                <w:rFonts w:ascii="Calibri" w:hAnsi="Calibri"/>
                <w:b w:val="0"/>
                <w:color w:val="000000"/>
                <w:sz w:val="18"/>
              </w:rPr>
              <w:t>Use SELECT ... FOR UPDATE on inventory_batches (or equivalent Prisma transaction isolation) plus version checking. If stock changed, return 409 INVENTORY_CHANGED / INSUFFICIENT_STOCK.</w:t>
            </w:r>
          </w:p>
        </w:tc>
      </w:tr>
    </w:tbl>
    <w:p>
      <w:pPr>
        <w:spacing w:before="0" w:after="80"/>
      </w:pPr>
    </w:p>
    <w:p>
      <w:pPr>
        <w:pStyle w:val="Heading2"/>
      </w:pPr>
      <w:r>
        <w:rPr>
          <w:rFonts w:ascii="Calibri" w:hAnsi="Calibri"/>
          <w:b/>
          <w:color w:val="2E74B5"/>
          <w:sz w:val="26"/>
        </w:rPr>
        <w:t>7.2 Landed Cost</w:t>
      </w:r>
    </w:p>
    <w:p>
      <w:pPr>
        <w:spacing w:before="0" w:after="120" w:line="264" w:lineRule="auto"/>
      </w:pPr>
      <w:r>
        <w:rPr>
          <w:rFonts w:ascii="Calibri" w:hAnsi="Calibri"/>
          <w:b w:val="0"/>
          <w:i w:val="0"/>
          <w:color w:val="000000"/>
          <w:sz w:val="22"/>
        </w:rPr>
        <w:t>All margin reporting uses EGP functional-currency COGS. Each purchase and expense retains its original currency, original amount, exchange rate, and EGP equivalent. The exact allocation basis for shared shipping/customs/handling cost must be approved; the initial implementation should make it explicit on each cost allocation event rather than hiding it in a recalculation.</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Calculation</w:t>
            </w:r>
          </w:p>
        </w:tc>
        <w:tc>
          <w:tcPr>
            <w:tcW w:type="dxa" w:w="66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Definition</w:t>
            </w:r>
          </w:p>
        </w:tc>
      </w:tr>
      <w:tr>
        <w:tc>
          <w:tcPr>
            <w:tcW w:type="dxa" w:w="2700"/>
            <w:tcMar>
              <w:top w:w="80" w:type="dxa"/>
              <w:start w:w="120" w:type="dxa"/>
              <w:bottom w:w="80" w:type="dxa"/>
              <w:end w:w="120" w:type="dxa"/>
            </w:tcMar>
            <w:vAlign w:val="center"/>
          </w:tcPr>
          <w:p>
            <w:pPr>
              <w:spacing w:before="0" w:after="0" w:line="259" w:lineRule="auto"/>
            </w:pPr>
            <w:r/>
            <w:r>
              <w:rPr>
                <w:rFonts w:ascii="Calibri" w:hAnsi="Calibri"/>
                <w:b w:val="0"/>
                <w:color w:val="000000"/>
                <w:sz w:val="18"/>
              </w:rPr>
              <w:t>Purchase line cost (EGP)</w:t>
            </w:r>
          </w:p>
        </w:tc>
        <w:tc>
          <w:tcPr>
            <w:tcW w:type="dxa" w:w="6660"/>
            <w:tcMar>
              <w:top w:w="80" w:type="dxa"/>
              <w:start w:w="120" w:type="dxa"/>
              <w:bottom w:w="80" w:type="dxa"/>
              <w:end w:w="120" w:type="dxa"/>
            </w:tcMar>
            <w:vAlign w:val="center"/>
          </w:tcPr>
          <w:p>
            <w:pPr>
              <w:spacing w:before="0" w:after="0" w:line="259" w:lineRule="auto"/>
            </w:pPr>
            <w:r/>
            <w:r>
              <w:rPr>
                <w:rFonts w:ascii="Calibri" w:hAnsi="Calibri"/>
                <w:b w:val="0"/>
                <w:color w:val="000000"/>
                <w:sz w:val="18"/>
              </w:rPr>
              <w:t>(unit price x received quantity - line discount) x stored FX rate to EGP.</w:t>
            </w:r>
          </w:p>
        </w:tc>
      </w:tr>
      <w:tr>
        <w:tc>
          <w:tcPr>
            <w:tcW w:type="dxa" w:w="27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Allocable cycle costs</w:t>
            </w:r>
          </w:p>
        </w:tc>
        <w:tc>
          <w:tcPr>
            <w:tcW w:type="dxa" w:w="66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Approved shipping-leg cost plus any approved product-attributable expense/refund adjustment, in EGP.</w:t>
            </w:r>
          </w:p>
        </w:tc>
      </w:tr>
      <w:tr>
        <w:tc>
          <w:tcPr>
            <w:tcW w:type="dxa" w:w="2700"/>
            <w:tcMar>
              <w:top w:w="80" w:type="dxa"/>
              <w:start w:w="120" w:type="dxa"/>
              <w:bottom w:w="80" w:type="dxa"/>
              <w:end w:w="120" w:type="dxa"/>
            </w:tcMar>
            <w:vAlign w:val="center"/>
          </w:tcPr>
          <w:p>
            <w:pPr>
              <w:spacing w:before="0" w:after="0" w:line="259" w:lineRule="auto"/>
            </w:pPr>
            <w:r/>
            <w:r>
              <w:rPr>
                <w:rFonts w:ascii="Calibri" w:hAnsi="Calibri"/>
                <w:b w:val="0"/>
                <w:color w:val="000000"/>
                <w:sz w:val="18"/>
              </w:rPr>
              <w:t>Batch landed cost (EGP)</w:t>
            </w:r>
          </w:p>
        </w:tc>
        <w:tc>
          <w:tcPr>
            <w:tcW w:type="dxa" w:w="6660"/>
            <w:tcMar>
              <w:top w:w="80" w:type="dxa"/>
              <w:start w:w="120" w:type="dxa"/>
              <w:bottom w:w="80" w:type="dxa"/>
              <w:end w:w="120" w:type="dxa"/>
            </w:tcMar>
            <w:vAlign w:val="center"/>
          </w:tcPr>
          <w:p>
            <w:pPr>
              <w:spacing w:before="0" w:after="0" w:line="259" w:lineRule="auto"/>
            </w:pPr>
            <w:r/>
            <w:r>
              <w:rPr>
                <w:rFonts w:ascii="Calibri" w:hAnsi="Calibri"/>
                <w:b w:val="0"/>
                <w:color w:val="000000"/>
                <w:sz w:val="18"/>
              </w:rPr>
              <w:t>Purchase line cost in EGP + explicitly allocated share of allocable costs - allocated supplier refund.</w:t>
            </w:r>
          </w:p>
        </w:tc>
      </w:tr>
      <w:tr>
        <w:tc>
          <w:tcPr>
            <w:tcW w:type="dxa" w:w="27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Landed unit cost (EGP)</w:t>
            </w:r>
          </w:p>
        </w:tc>
        <w:tc>
          <w:tcPr>
            <w:tcW w:type="dxa" w:w="66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Batch landed cost / verified received quantity. Store at up to four decimals; report rounded to two decimals.</w:t>
            </w:r>
          </w:p>
        </w:tc>
      </w:tr>
      <w:tr>
        <w:tc>
          <w:tcPr>
            <w:tcW w:type="dxa" w:w="2700"/>
            <w:tcMar>
              <w:top w:w="80" w:type="dxa"/>
              <w:start w:w="120" w:type="dxa"/>
              <w:bottom w:w="80" w:type="dxa"/>
              <w:end w:w="120" w:type="dxa"/>
            </w:tcMar>
            <w:vAlign w:val="center"/>
          </w:tcPr>
          <w:p>
            <w:pPr>
              <w:spacing w:before="0" w:after="0" w:line="259" w:lineRule="auto"/>
            </w:pPr>
            <w:r/>
            <w:r>
              <w:rPr>
                <w:rFonts w:ascii="Calibri" w:hAnsi="Calibri"/>
                <w:b w:val="0"/>
                <w:color w:val="000000"/>
                <w:sz w:val="18"/>
              </w:rPr>
              <w:t>COGS for sale item</w:t>
            </w:r>
          </w:p>
        </w:tc>
        <w:tc>
          <w:tcPr>
            <w:tcW w:type="dxa" w:w="6660"/>
            <w:tcMar>
              <w:top w:w="80" w:type="dxa"/>
              <w:start w:w="120" w:type="dxa"/>
              <w:bottom w:w="80" w:type="dxa"/>
              <w:end w:w="120" w:type="dxa"/>
            </w:tcMar>
            <w:vAlign w:val="center"/>
          </w:tcPr>
          <w:p>
            <w:pPr>
              <w:spacing w:before="0" w:after="0" w:line="259" w:lineRule="auto"/>
            </w:pPr>
            <w:r/>
            <w:r>
              <w:rPr>
                <w:rFonts w:ascii="Calibri" w:hAnsi="Calibri"/>
                <w:b w:val="0"/>
                <w:color w:val="000000"/>
                <w:sz w:val="18"/>
              </w:rPr>
              <w:t>SUM(sale_item_allocation.cogs_egp) across the allocations for that sale item.</w:t>
            </w:r>
          </w:p>
        </w:tc>
      </w:tr>
      <w:tr>
        <w:tc>
          <w:tcPr>
            <w:tcW w:type="dxa" w:w="27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Gross profit</w:t>
            </w:r>
          </w:p>
        </w:tc>
        <w:tc>
          <w:tcPr>
            <w:tcW w:type="dxa" w:w="66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Net sales revenue in EGP - COGS. Net sales revenue excludes cancelled/refunded portions according to the approved return policy.</w:t>
            </w:r>
          </w:p>
        </w:tc>
      </w:tr>
      <w:tr>
        <w:tc>
          <w:tcPr>
            <w:tcW w:type="dxa" w:w="2700"/>
            <w:tcMar>
              <w:top w:w="80" w:type="dxa"/>
              <w:start w:w="120" w:type="dxa"/>
              <w:bottom w:w="80" w:type="dxa"/>
              <w:end w:w="120" w:type="dxa"/>
            </w:tcMar>
            <w:vAlign w:val="center"/>
          </w:tcPr>
          <w:p>
            <w:pPr>
              <w:spacing w:before="0" w:after="0" w:line="259" w:lineRule="auto"/>
            </w:pPr>
            <w:r/>
            <w:r>
              <w:rPr>
                <w:rFonts w:ascii="Calibri" w:hAnsi="Calibri"/>
                <w:b w:val="0"/>
                <w:color w:val="000000"/>
                <w:sz w:val="18"/>
              </w:rPr>
              <w:t>Net operating profit</w:t>
            </w:r>
          </w:p>
        </w:tc>
        <w:tc>
          <w:tcPr>
            <w:tcW w:type="dxa" w:w="6660"/>
            <w:tcMar>
              <w:top w:w="80" w:type="dxa"/>
              <w:start w:w="120" w:type="dxa"/>
              <w:bottom w:w="80" w:type="dxa"/>
              <w:end w:w="120" w:type="dxa"/>
            </w:tcMar>
            <w:vAlign w:val="center"/>
          </w:tcPr>
          <w:p>
            <w:pPr>
              <w:spacing w:before="0" w:after="0" w:line="259" w:lineRule="auto"/>
            </w:pPr>
            <w:r/>
            <w:r>
              <w:rPr>
                <w:rFonts w:ascii="Calibri" w:hAnsi="Calibri"/>
                <w:b w:val="0"/>
                <w:color w:val="000000"/>
                <w:sz w:val="18"/>
              </w:rPr>
              <w:t>Gross profit - approved attributable operating expenses. Do not mix cash movement and accounting profit.</w:t>
            </w:r>
          </w:p>
        </w:tc>
      </w:tr>
    </w:tbl>
    <w:p>
      <w:pPr>
        <w:spacing w:before="0" w:after="80"/>
      </w:pPr>
    </w:p>
    <w:p>
      <w:pPr>
        <w:pStyle w:val="Heading2"/>
      </w:pPr>
      <w:r>
        <w:rPr>
          <w:rFonts w:ascii="Calibri" w:hAnsi="Calibri"/>
          <w:b/>
          <w:color w:val="2E74B5"/>
          <w:sz w:val="26"/>
        </w:rPr>
        <w:t>7.3 Cycle Participant Settlement</w:t>
      </w:r>
    </w:p>
    <w:p>
      <w:pPr>
        <w:spacing w:before="0" w:after="120" w:line="264" w:lineRule="auto"/>
      </w:pPr>
      <w:r>
        <w:rPr>
          <w:rFonts w:ascii="Calibri" w:hAnsi="Calibri"/>
          <w:b w:val="0"/>
          <w:i w:val="0"/>
          <w:color w:val="000000"/>
          <w:sz w:val="22"/>
        </w:rPr>
        <w:t>Settlement is calculated from a frozen cycle snapshot. A user may preview a draft calculation, but paid settlement lines cannot be edited in place. Corrections create a reversal and a new settlement version.</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Term</w:t>
            </w:r>
          </w:p>
        </w:tc>
        <w:tc>
          <w:tcPr>
            <w:tcW w:type="dxa" w:w="66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Formula / rule</w:t>
            </w:r>
          </w:p>
        </w:tc>
      </w:tr>
      <w:tr>
        <w:tc>
          <w:tcPr>
            <w:tcW w:type="dxa" w:w="2700"/>
            <w:tcMar>
              <w:top w:w="80" w:type="dxa"/>
              <w:start w:w="120" w:type="dxa"/>
              <w:bottom w:w="80" w:type="dxa"/>
              <w:end w:w="120" w:type="dxa"/>
            </w:tcMar>
            <w:vAlign w:val="center"/>
          </w:tcPr>
          <w:p>
            <w:pPr>
              <w:spacing w:before="0" w:after="0" w:line="259" w:lineRule="auto"/>
            </w:pPr>
            <w:r/>
            <w:r>
              <w:rPr>
                <w:rFonts w:ascii="Calibri" w:hAnsi="Calibri"/>
                <w:b w:val="0"/>
                <w:color w:val="000000"/>
                <w:sz w:val="18"/>
              </w:rPr>
              <w:t>Actual contribution</w:t>
            </w:r>
          </w:p>
        </w:tc>
        <w:tc>
          <w:tcPr>
            <w:tcW w:type="dxa" w:w="6660"/>
            <w:tcMar>
              <w:top w:w="80" w:type="dxa"/>
              <w:start w:w="120" w:type="dxa"/>
              <w:bottom w:w="80" w:type="dxa"/>
              <w:end w:w="120" w:type="dxa"/>
            </w:tcMar>
            <w:vAlign w:val="center"/>
          </w:tcPr>
          <w:p>
            <w:pPr>
              <w:spacing w:before="0" w:after="0" w:line="259" w:lineRule="auto"/>
            </w:pPr>
            <w:r/>
            <w:r>
              <w:rPr>
                <w:rFonts w:ascii="Calibri" w:hAnsi="Calibri"/>
                <w:b w:val="0"/>
                <w:color w:val="000000"/>
                <w:sz w:val="18"/>
              </w:rPr>
              <w:t>Sum of settled/confirmed contribution financial transactions for the participant in the cycle; not a planned value.</w:t>
            </w:r>
          </w:p>
        </w:tc>
      </w:tr>
      <w:tr>
        <w:tc>
          <w:tcPr>
            <w:tcW w:type="dxa" w:w="27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Default profit share</w:t>
            </w:r>
          </w:p>
        </w:tc>
        <w:tc>
          <w:tcPr>
            <w:tcW w:type="dxa" w:w="66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participant actual contribution / total actual contribution. Requires total contribution &gt; 0.</w:t>
            </w:r>
          </w:p>
        </w:tc>
      </w:tr>
      <w:tr>
        <w:tc>
          <w:tcPr>
            <w:tcW w:type="dxa" w:w="2700"/>
            <w:tcMar>
              <w:top w:w="80" w:type="dxa"/>
              <w:start w:w="120" w:type="dxa"/>
              <w:bottom w:w="80" w:type="dxa"/>
              <w:end w:w="120" w:type="dxa"/>
            </w:tcMar>
            <w:vAlign w:val="center"/>
          </w:tcPr>
          <w:p>
            <w:pPr>
              <w:spacing w:before="0" w:after="0" w:line="259" w:lineRule="auto"/>
            </w:pPr>
            <w:r/>
            <w:r>
              <w:rPr>
                <w:rFonts w:ascii="Calibri" w:hAnsi="Calibri"/>
                <w:b w:val="0"/>
                <w:color w:val="000000"/>
                <w:sz w:val="18"/>
              </w:rPr>
              <w:t>Custom profit share</w:t>
            </w:r>
          </w:p>
        </w:tc>
        <w:tc>
          <w:tcPr>
            <w:tcW w:type="dxa" w:w="6660"/>
            <w:tcMar>
              <w:top w:w="80" w:type="dxa"/>
              <w:start w:w="120" w:type="dxa"/>
              <w:bottom w:w="80" w:type="dxa"/>
              <w:end w:w="120" w:type="dxa"/>
            </w:tcMar>
            <w:vAlign w:val="center"/>
          </w:tcPr>
          <w:p>
            <w:pPr>
              <w:spacing w:before="0" w:after="0" w:line="259" w:lineRule="auto"/>
            </w:pPr>
            <w:r/>
            <w:r>
              <w:rPr>
                <w:rFonts w:ascii="Calibri" w:hAnsi="Calibri"/>
                <w:b w:val="0"/>
                <w:color w:val="000000"/>
                <w:sz w:val="18"/>
              </w:rPr>
              <w:t>When enabled for the cycle, explicit participant percentages must total exactly 100.0000%.</w:t>
            </w:r>
          </w:p>
        </w:tc>
      </w:tr>
      <w:tr>
        <w:tc>
          <w:tcPr>
            <w:tcW w:type="dxa" w:w="27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Allocated gross profit</w:t>
            </w:r>
          </w:p>
        </w:tc>
        <w:tc>
          <w:tcPr>
            <w:tcW w:type="dxa" w:w="66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Distributable cycle profit x participant share percentage.</w:t>
            </w:r>
          </w:p>
        </w:tc>
      </w:tr>
      <w:tr>
        <w:tc>
          <w:tcPr>
            <w:tcW w:type="dxa" w:w="2700"/>
            <w:tcMar>
              <w:top w:w="80" w:type="dxa"/>
              <w:start w:w="120" w:type="dxa"/>
              <w:bottom w:w="80" w:type="dxa"/>
              <w:end w:w="120" w:type="dxa"/>
            </w:tcMar>
            <w:vAlign w:val="center"/>
          </w:tcPr>
          <w:p>
            <w:pPr>
              <w:spacing w:before="0" w:after="0" w:line="259" w:lineRule="auto"/>
            </w:pPr>
            <w:r/>
            <w:r>
              <w:rPr>
                <w:rFonts w:ascii="Calibri" w:hAnsi="Calibri"/>
                <w:b w:val="0"/>
                <w:color w:val="000000"/>
                <w:sz w:val="18"/>
              </w:rPr>
              <w:t>Temporary investor fee</w:t>
            </w:r>
          </w:p>
        </w:tc>
        <w:tc>
          <w:tcPr>
            <w:tcW w:type="dxa" w:w="6660"/>
            <w:tcMar>
              <w:top w:w="80" w:type="dxa"/>
              <w:start w:w="120" w:type="dxa"/>
              <w:bottom w:w="80" w:type="dxa"/>
              <w:end w:w="120" w:type="dxa"/>
            </w:tcMar>
            <w:vAlign w:val="center"/>
          </w:tcPr>
          <w:p>
            <w:pPr>
              <w:spacing w:before="0" w:after="0" w:line="259" w:lineRule="auto"/>
            </w:pPr>
            <w:r/>
            <w:r>
              <w:rPr>
                <w:rFonts w:ascii="Calibri" w:hAnsi="Calibri"/>
                <w:b w:val="0"/>
                <w:color w:val="000000"/>
                <w:sz w:val="18"/>
              </w:rPr>
              <w:t>Allocated gross profit x investor fee percentage. Fee is a profit deduction, not a capital deduction.</w:t>
            </w:r>
          </w:p>
        </w:tc>
      </w:tr>
      <w:tr>
        <w:tc>
          <w:tcPr>
            <w:tcW w:type="dxa" w:w="27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Temporary investor net profit</w:t>
            </w:r>
          </w:p>
        </w:tc>
        <w:tc>
          <w:tcPr>
            <w:tcW w:type="dxa" w:w="66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Allocated gross profit - investor fee.</w:t>
            </w:r>
          </w:p>
        </w:tc>
      </w:tr>
      <w:tr>
        <w:tc>
          <w:tcPr>
            <w:tcW w:type="dxa" w:w="2700"/>
            <w:tcMar>
              <w:top w:w="80" w:type="dxa"/>
              <w:start w:w="120" w:type="dxa"/>
              <w:bottom w:w="80" w:type="dxa"/>
              <w:end w:w="120" w:type="dxa"/>
            </w:tcMar>
            <w:vAlign w:val="center"/>
          </w:tcPr>
          <w:p>
            <w:pPr>
              <w:spacing w:before="0" w:after="0" w:line="259" w:lineRule="auto"/>
            </w:pPr>
            <w:r/>
            <w:r>
              <w:rPr>
                <w:rFonts w:ascii="Calibri" w:hAnsi="Calibri"/>
                <w:b w:val="0"/>
                <w:color w:val="000000"/>
                <w:sz w:val="18"/>
              </w:rPr>
              <w:t>Settlement payout</w:t>
            </w:r>
          </w:p>
        </w:tc>
        <w:tc>
          <w:tcPr>
            <w:tcW w:type="dxa" w:w="6660"/>
            <w:tcMar>
              <w:top w:w="80" w:type="dxa"/>
              <w:start w:w="120" w:type="dxa"/>
              <w:bottom w:w="80" w:type="dxa"/>
              <w:end w:w="120" w:type="dxa"/>
            </w:tcMar>
            <w:vAlign w:val="center"/>
          </w:tcPr>
          <w:p>
            <w:pPr>
              <w:spacing w:before="0" w:after="0" w:line="259" w:lineRule="auto"/>
            </w:pPr>
            <w:r/>
            <w:r>
              <w:rPr>
                <w:rFonts w:ascii="Calibri" w:hAnsi="Calibri"/>
                <w:b w:val="0"/>
                <w:color w:val="000000"/>
                <w:sz w:val="18"/>
              </w:rPr>
              <w:t>Capital return + net profit + approved adjustments. Each component is a separate settlement line.</w:t>
            </w:r>
          </w:p>
        </w:tc>
      </w:tr>
    </w:tbl>
    <w:p>
      <w:pPr>
        <w:spacing w:before="0" w:after="80"/>
      </w:pPr>
    </w:p>
    <w:p>
      <w:pPr>
        <w:spacing w:before="80" w:after="160" w:line="264" w:lineRule="auto"/>
      </w:pPr>
      <w:r>
        <w:rPr>
          <w:rFonts w:ascii="Calibri" w:hAnsi="Calibri"/>
          <w:b w:val="0"/>
          <w:i/>
          <w:color w:val="1F4D78"/>
          <w:sz w:val="21"/>
        </w:rPr>
        <w:t>Illustrative check: if a temporary investor has 50,000 EGP allocated gross profit and a 15% fee, fee = 7,500 EGP and investor net profit = 42,500 EGP. The fee-recipient split is a decision gate and must be explicitly stored before payout.</w:t>
      </w:r>
    </w:p>
    <w:p>
      <w:pPr>
        <w:pStyle w:val="Heading1"/>
      </w:pPr>
      <w:r>
        <w:rPr>
          <w:rFonts w:ascii="Calibri" w:hAnsi="Calibri"/>
          <w:b/>
          <w:color w:val="2E74B5"/>
          <w:sz w:val="32"/>
        </w:rPr>
        <w:t>8. API Contract</w:t>
      </w:r>
    </w:p>
    <w:p>
      <w:pPr>
        <w:spacing w:before="0" w:after="120" w:line="264" w:lineRule="auto"/>
      </w:pPr>
      <w:r>
        <w:rPr>
          <w:rFonts w:ascii="Calibri" w:hAnsi="Calibri"/>
          <w:b w:val="0"/>
          <w:i w:val="0"/>
          <w:color w:val="000000"/>
          <w:sz w:val="22"/>
        </w:rPr>
        <w:t>Base path: /api/v1. All API responses use JSON. UUIDs are strings. Money is returned as decimal strings, never binary floating-point numbers. Dates use ISO 8601. Mutating endpoints require an authenticated actor and accept Idempotency-Key for payment, receiving, adjustment, and settlement operations.</w:t>
      </w:r>
    </w:p>
    <w:p>
      <w:pPr>
        <w:pStyle w:val="Heading2"/>
      </w:pPr>
      <w:r>
        <w:rPr>
          <w:rFonts w:ascii="Calibri" w:hAnsi="Calibri"/>
          <w:b/>
          <w:color w:val="2E74B5"/>
          <w:sz w:val="26"/>
        </w:rPr>
        <w:t>8.1 Cross-Cutting API Behavior</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Area</w:t>
            </w:r>
          </w:p>
        </w:tc>
        <w:tc>
          <w:tcPr>
            <w:tcW w:type="dxa" w:w="70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Contract</w:t>
            </w:r>
          </w:p>
        </w:tc>
      </w:tr>
      <w:tr>
        <w:tc>
          <w:tcPr>
            <w:tcW w:type="dxa" w:w="2300"/>
            <w:tcMar>
              <w:top w:w="80" w:type="dxa"/>
              <w:start w:w="120" w:type="dxa"/>
              <w:bottom w:w="80" w:type="dxa"/>
              <w:end w:w="120" w:type="dxa"/>
            </w:tcMar>
            <w:vAlign w:val="center"/>
          </w:tcPr>
          <w:p>
            <w:pPr>
              <w:spacing w:before="0" w:after="0" w:line="259" w:lineRule="auto"/>
            </w:pPr>
            <w:r/>
            <w:r>
              <w:rPr>
                <w:rFonts w:ascii="Calibri" w:hAnsi="Calibri"/>
                <w:b w:val="0"/>
                <w:color w:val="000000"/>
                <w:sz w:val="18"/>
              </w:rPr>
              <w:t>Success envelope</w:t>
            </w:r>
          </w:p>
        </w:tc>
        <w:tc>
          <w:tcPr>
            <w:tcW w:type="dxa" w:w="7060"/>
            <w:tcMar>
              <w:top w:w="80" w:type="dxa"/>
              <w:start w:w="120" w:type="dxa"/>
              <w:bottom w:w="80" w:type="dxa"/>
              <w:end w:w="120" w:type="dxa"/>
            </w:tcMar>
            <w:vAlign w:val="center"/>
          </w:tcPr>
          <w:p>
            <w:pPr>
              <w:spacing w:before="0" w:after="0" w:line="259" w:lineRule="auto"/>
            </w:pPr>
            <w:r/>
            <w:r>
              <w:rPr>
                <w:rFonts w:ascii="Calibri" w:hAnsi="Calibri"/>
                <w:b w:val="0"/>
                <w:color w:val="000000"/>
                <w:sz w:val="18"/>
              </w:rPr>
              <w:t>{ data, meta? }. List meta includes cursor, limit and nextCursor.</w:t>
            </w:r>
          </w:p>
        </w:tc>
      </w:tr>
      <w:tr>
        <w:tc>
          <w:tcPr>
            <w:tcW w:type="dxa" w:w="23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Error envelope</w:t>
            </w:r>
          </w:p>
        </w:tc>
        <w:tc>
          <w:tcPr>
            <w:tcW w:type="dxa" w:w="70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 error: { code, message, details?, correlationId } }. Never expose stack traces.</w:t>
            </w:r>
          </w:p>
        </w:tc>
      </w:tr>
      <w:tr>
        <w:tc>
          <w:tcPr>
            <w:tcW w:type="dxa" w:w="2300"/>
            <w:tcMar>
              <w:top w:w="80" w:type="dxa"/>
              <w:start w:w="120" w:type="dxa"/>
              <w:bottom w:w="80" w:type="dxa"/>
              <w:end w:w="120" w:type="dxa"/>
            </w:tcMar>
            <w:vAlign w:val="center"/>
          </w:tcPr>
          <w:p>
            <w:pPr>
              <w:spacing w:before="0" w:after="0" w:line="259" w:lineRule="auto"/>
            </w:pPr>
            <w:r/>
            <w:r>
              <w:rPr>
                <w:rFonts w:ascii="Calibri" w:hAnsi="Calibri"/>
                <w:b w:val="0"/>
                <w:color w:val="000000"/>
                <w:sz w:val="18"/>
              </w:rPr>
              <w:t>Status codes</w:t>
            </w:r>
          </w:p>
        </w:tc>
        <w:tc>
          <w:tcPr>
            <w:tcW w:type="dxa" w:w="7060"/>
            <w:tcMar>
              <w:top w:w="80" w:type="dxa"/>
              <w:start w:w="120" w:type="dxa"/>
              <w:bottom w:w="80" w:type="dxa"/>
              <w:end w:w="120" w:type="dxa"/>
            </w:tcMar>
            <w:vAlign w:val="center"/>
          </w:tcPr>
          <w:p>
            <w:pPr>
              <w:spacing w:before="0" w:after="0" w:line="259" w:lineRule="auto"/>
            </w:pPr>
            <w:r/>
            <w:r>
              <w:rPr>
                <w:rFonts w:ascii="Calibri" w:hAnsi="Calibri"/>
                <w:b w:val="0"/>
                <w:color w:val="000000"/>
                <w:sz w:val="18"/>
              </w:rPr>
              <w:t>400 validation, 401 unauthenticated, 403 forbidden, 404 not found, 409 concurrency/state conflict, 422 business-rule failure, 429 rate limited, 500 unexpected.</w:t>
            </w:r>
          </w:p>
        </w:tc>
      </w:tr>
      <w:tr>
        <w:tc>
          <w:tcPr>
            <w:tcW w:type="dxa" w:w="23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Filtering</w:t>
            </w:r>
          </w:p>
        </w:tc>
        <w:tc>
          <w:tcPr>
            <w:tcW w:type="dxa" w:w="70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Lists support cursor pagination, stable sort, date range, status, customer/product/cycle IDs where relevant. Export endpoints run asynchronously for large ranges.</w:t>
            </w:r>
          </w:p>
        </w:tc>
      </w:tr>
      <w:tr>
        <w:tc>
          <w:tcPr>
            <w:tcW w:type="dxa" w:w="2300"/>
            <w:tcMar>
              <w:top w:w="80" w:type="dxa"/>
              <w:start w:w="120" w:type="dxa"/>
              <w:bottom w:w="80" w:type="dxa"/>
              <w:end w:w="120" w:type="dxa"/>
            </w:tcMar>
            <w:vAlign w:val="center"/>
          </w:tcPr>
          <w:p>
            <w:pPr>
              <w:spacing w:before="0" w:after="0" w:line="259" w:lineRule="auto"/>
            </w:pPr>
            <w:r/>
            <w:r>
              <w:rPr>
                <w:rFonts w:ascii="Calibri" w:hAnsi="Calibri"/>
                <w:b w:val="0"/>
                <w:color w:val="000000"/>
                <w:sz w:val="18"/>
              </w:rPr>
              <w:t>Concurrency</w:t>
            </w:r>
          </w:p>
        </w:tc>
        <w:tc>
          <w:tcPr>
            <w:tcW w:type="dxa" w:w="7060"/>
            <w:tcMar>
              <w:top w:w="80" w:type="dxa"/>
              <w:start w:w="120" w:type="dxa"/>
              <w:bottom w:w="80" w:type="dxa"/>
              <w:end w:w="120" w:type="dxa"/>
            </w:tcMar>
            <w:vAlign w:val="center"/>
          </w:tcPr>
          <w:p>
            <w:pPr>
              <w:spacing w:before="0" w:after="0" w:line="259" w:lineRule="auto"/>
            </w:pPr>
            <w:r/>
            <w:r>
              <w:rPr>
                <w:rFonts w:ascii="Calibri" w:hAnsi="Calibri"/>
                <w:b w:val="0"/>
                <w:color w:val="000000"/>
                <w:sz w:val="18"/>
              </w:rPr>
              <w:t>Resource updates include version. On mismatch, return 409 with current version and a human-readable conflict code.</w:t>
            </w:r>
          </w:p>
        </w:tc>
      </w:tr>
      <w:tr>
        <w:tc>
          <w:tcPr>
            <w:tcW w:type="dxa" w:w="23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Audit</w:t>
            </w:r>
          </w:p>
        </w:tc>
        <w:tc>
          <w:tcPr>
            <w:tcW w:type="dxa" w:w="70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The API derives actor from auth context; actor and old/new values are not client-supplied.</w:t>
            </w:r>
          </w:p>
        </w:tc>
      </w:tr>
    </w:tbl>
    <w:p>
      <w:pPr>
        <w:spacing w:before="0" w:after="80"/>
      </w:pPr>
    </w:p>
    <w:p>
      <w:pPr>
        <w:pStyle w:val="Heading2"/>
      </w:pPr>
      <w:r>
        <w:rPr>
          <w:rFonts w:ascii="Calibri" w:hAnsi="Calibri"/>
          <w:b/>
          <w:color w:val="2E74B5"/>
          <w:sz w:val="26"/>
        </w:rPr>
        <w:t>8.2 Representative Endpoint Surface</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650"/>
        <w:gridCol w:w="2900"/>
        <w:gridCol w:w="3810"/>
      </w:tblGrid>
      <w:tr>
        <w:trPr>
          <w:tblHeader w:val="true"/>
        </w:trPr>
        <w:tc>
          <w:tcPr>
            <w:tcW w:type="dxa" w:w="26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Method and route</w:t>
            </w:r>
          </w:p>
        </w:tc>
        <w:tc>
          <w:tcPr>
            <w:tcW w:type="dxa" w:w="29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Purpose</w:t>
            </w:r>
          </w:p>
        </w:tc>
        <w:tc>
          <w:tcPr>
            <w:tcW w:type="dxa" w:w="381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Primary rules</w:t>
            </w:r>
          </w:p>
        </w:tc>
      </w:tr>
      <w:tr>
        <w:tc>
          <w:tcPr>
            <w:tcW w:type="dxa" w:w="2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/cycles</w:t>
            </w:r>
          </w:p>
        </w:tc>
        <w:tc>
          <w:tcPr>
            <w:tcW w:type="dxa" w:w="2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Create planning cycle</w:t>
            </w:r>
          </w:p>
        </w:tc>
        <w:tc>
          <w:tcPr>
            <w:tcW w:type="dxa" w:w="3810"/>
            <w:tcMar>
              <w:top w:w="80" w:type="dxa"/>
              <w:start w:w="120" w:type="dxa"/>
              <w:bottom w:w="80" w:type="dxa"/>
              <w:end w:w="120" w:type="dxa"/>
            </w:tcMar>
            <w:vAlign w:val="center"/>
          </w:tcPr>
          <w:p>
            <w:pPr>
              <w:spacing w:before="0" w:after="0" w:line="259" w:lineRule="auto"/>
            </w:pPr>
            <w:r/>
            <w:r>
              <w:rPr>
                <w:rFonts w:ascii="Calibri" w:hAnsi="Calibri"/>
                <w:b w:val="0"/>
                <w:color w:val="000000"/>
                <w:sz w:val="17"/>
              </w:rPr>
              <w:t>Core partner; creates code, initial status and audit event.</w:t>
            </w:r>
          </w:p>
        </w:tc>
      </w:tr>
      <w:tr>
        <w:tc>
          <w:tcPr>
            <w:tcW w:type="dxa" w:w="2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/cycles/{id}/transition</w:t>
            </w:r>
          </w:p>
        </w:tc>
        <w:tc>
          <w:tcPr>
            <w:tcW w:type="dxa" w:w="2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Change cycle status</w:t>
            </w:r>
          </w:p>
        </w:tc>
        <w:tc>
          <w:tcPr>
            <w:tcW w:type="dxa" w:w="38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Validates allowed state transition and prerequisites; never patch status directly.</w:t>
            </w:r>
          </w:p>
        </w:tc>
      </w:tr>
      <w:tr>
        <w:tc>
          <w:tcPr>
            <w:tcW w:type="dxa" w:w="2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/cycles/{id}/participants</w:t>
            </w:r>
          </w:p>
        </w:tc>
        <w:tc>
          <w:tcPr>
            <w:tcW w:type="dxa" w:w="2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Add/update contribution agreement</w:t>
            </w:r>
          </w:p>
        </w:tc>
        <w:tc>
          <w:tcPr>
            <w:tcW w:type="dxa" w:w="3810"/>
            <w:tcMar>
              <w:top w:w="80" w:type="dxa"/>
              <w:start w:w="120" w:type="dxa"/>
              <w:bottom w:w="80" w:type="dxa"/>
              <w:end w:w="120" w:type="dxa"/>
            </w:tcMar>
            <w:vAlign w:val="center"/>
          </w:tcPr>
          <w:p>
            <w:pPr>
              <w:spacing w:before="0" w:after="0" w:line="259" w:lineRule="auto"/>
            </w:pPr>
            <w:r/>
            <w:r>
              <w:rPr>
                <w:rFonts w:ascii="Calibri" w:hAnsi="Calibri"/>
                <w:b w:val="0"/>
                <w:color w:val="000000"/>
                <w:sz w:val="17"/>
              </w:rPr>
              <w:t>Core partner; preserves agreement history and validates custom shares at settlement.</w:t>
            </w:r>
          </w:p>
        </w:tc>
      </w:tr>
      <w:tr>
        <w:tc>
          <w:tcPr>
            <w:tcW w:type="dxa" w:w="2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/cycles/{id}/purchases</w:t>
            </w:r>
          </w:p>
        </w:tc>
        <w:tc>
          <w:tcPr>
            <w:tcW w:type="dxa" w:w="2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Create purchase order</w:t>
            </w:r>
          </w:p>
        </w:tc>
        <w:tc>
          <w:tcPr>
            <w:tcW w:type="dxa" w:w="38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Core partner; currency/FX captured at booking.</w:t>
            </w:r>
          </w:p>
        </w:tc>
      </w:tr>
      <w:tr>
        <w:tc>
          <w:tcPr>
            <w:tcW w:type="dxa" w:w="2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/cycles/{id}/shipping-legs</w:t>
            </w:r>
          </w:p>
        </w:tc>
        <w:tc>
          <w:tcPr>
            <w:tcW w:type="dxa" w:w="2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Create/update logistics leg</w:t>
            </w:r>
          </w:p>
        </w:tc>
        <w:tc>
          <w:tcPr>
            <w:tcW w:type="dxa" w:w="3810"/>
            <w:tcMar>
              <w:top w:w="80" w:type="dxa"/>
              <w:start w:w="120" w:type="dxa"/>
              <w:bottom w:w="80" w:type="dxa"/>
              <w:end w:w="120" w:type="dxa"/>
            </w:tcMar>
            <w:vAlign w:val="center"/>
          </w:tcPr>
          <w:p>
            <w:pPr>
              <w:spacing w:before="0" w:after="0" w:line="259" w:lineRule="auto"/>
            </w:pPr>
            <w:r/>
            <w:r>
              <w:rPr>
                <w:rFonts w:ascii="Calibri" w:hAnsi="Calibri"/>
                <w:b w:val="0"/>
                <w:color w:val="000000"/>
                <w:sz w:val="17"/>
              </w:rPr>
              <w:t>Validates permitted route and sequence for cycle origin.</w:t>
            </w:r>
          </w:p>
        </w:tc>
      </w:tr>
      <w:tr>
        <w:tc>
          <w:tcPr>
            <w:tcW w:type="dxa" w:w="2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/receipts/verify</w:t>
            </w:r>
          </w:p>
        </w:tc>
        <w:tc>
          <w:tcPr>
            <w:tcW w:type="dxa" w:w="2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Verify received stock and create batches</w:t>
            </w:r>
          </w:p>
        </w:tc>
        <w:tc>
          <w:tcPr>
            <w:tcW w:type="dxa" w:w="38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Idempotent; requires arrived-in-Egypt lifecycle; establishes received qty and landed-cost allocation.</w:t>
            </w:r>
          </w:p>
        </w:tc>
      </w:tr>
      <w:tr>
        <w:tc>
          <w:tcPr>
            <w:tcW w:type="dxa" w:w="2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GET /inventory</w:t>
            </w:r>
          </w:p>
        </w:tc>
        <w:tc>
          <w:tcPr>
            <w:tcW w:type="dxa" w:w="2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List stock by product/batch</w:t>
            </w:r>
          </w:p>
        </w:tc>
        <w:tc>
          <w:tcPr>
            <w:tcW w:type="dxa" w:w="3810"/>
            <w:tcMar>
              <w:top w:w="80" w:type="dxa"/>
              <w:start w:w="120" w:type="dxa"/>
              <w:bottom w:w="80" w:type="dxa"/>
              <w:end w:w="120" w:type="dxa"/>
            </w:tcMar>
            <w:vAlign w:val="center"/>
          </w:tcPr>
          <w:p>
            <w:pPr>
              <w:spacing w:before="0" w:after="0" w:line="259" w:lineRule="auto"/>
            </w:pPr>
            <w:r/>
            <w:r>
              <w:rPr>
                <w:rFonts w:ascii="Calibri" w:hAnsi="Calibri"/>
                <w:b w:val="0"/>
                <w:color w:val="000000"/>
                <w:sz w:val="17"/>
              </w:rPr>
              <w:t>Internal view may filter cycle/product/status; returns total/reserved/available and batch provenance.</w:t>
            </w:r>
          </w:p>
        </w:tc>
      </w:tr>
      <w:tr>
        <w:tc>
          <w:tcPr>
            <w:tcW w:type="dxa" w:w="2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/sales/orders</w:t>
            </w:r>
          </w:p>
        </w:tc>
        <w:tc>
          <w:tcPr>
            <w:tcW w:type="dxa" w:w="2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Create draft sale order</w:t>
            </w:r>
          </w:p>
        </w:tc>
        <w:tc>
          <w:tcPr>
            <w:tcW w:type="dxa" w:w="38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Captures price snapshot; B2B/B2C channel; no final stock consumption while draft.</w:t>
            </w:r>
          </w:p>
        </w:tc>
      </w:tr>
      <w:tr>
        <w:tc>
          <w:tcPr>
            <w:tcW w:type="dxa" w:w="2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/sales/orders/{id}/confirm</w:t>
            </w:r>
          </w:p>
        </w:tc>
        <w:tc>
          <w:tcPr>
            <w:tcW w:type="dxa" w:w="2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Confirm order and allocate FIFO stock</w:t>
            </w:r>
          </w:p>
        </w:tc>
        <w:tc>
          <w:tcPr>
            <w:tcW w:type="dxa" w:w="3810"/>
            <w:tcMar>
              <w:top w:w="80" w:type="dxa"/>
              <w:start w:w="120" w:type="dxa"/>
              <w:bottom w:w="80" w:type="dxa"/>
              <w:end w:w="120" w:type="dxa"/>
            </w:tcMar>
            <w:vAlign w:val="center"/>
          </w:tcPr>
          <w:p>
            <w:pPr>
              <w:spacing w:before="0" w:after="0" w:line="259" w:lineRule="auto"/>
            </w:pPr>
            <w:r/>
            <w:r>
              <w:rPr>
                <w:rFonts w:ascii="Calibri" w:hAnsi="Calibri"/>
                <w:b w:val="0"/>
                <w:color w:val="000000"/>
                <w:sz w:val="17"/>
              </w:rPr>
              <w:t>Transactional lock/allocation; returns allocation and COGS summary.</w:t>
            </w:r>
          </w:p>
        </w:tc>
      </w:tr>
      <w:tr>
        <w:tc>
          <w:tcPr>
            <w:tcW w:type="dxa" w:w="2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/sales/orders/{id}/cancel</w:t>
            </w:r>
          </w:p>
        </w:tc>
        <w:tc>
          <w:tcPr>
            <w:tcW w:type="dxa" w:w="2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Cancel confirmed order</w:t>
            </w:r>
          </w:p>
        </w:tc>
        <w:tc>
          <w:tcPr>
            <w:tcW w:type="dxa" w:w="38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Releases reservations or creates reversing stock/financial adjustments according to order state.</w:t>
            </w:r>
          </w:p>
        </w:tc>
      </w:tr>
      <w:tr>
        <w:tc>
          <w:tcPr>
            <w:tcW w:type="dxa" w:w="2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/payments</w:t>
            </w:r>
          </w:p>
        </w:tc>
        <w:tc>
          <w:tcPr>
            <w:tcW w:type="dxa" w:w="2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Record customer payment</w:t>
            </w:r>
          </w:p>
        </w:tc>
        <w:tc>
          <w:tcPr>
            <w:tcW w:type="dxa" w:w="3810"/>
            <w:tcMar>
              <w:top w:w="80" w:type="dxa"/>
              <w:start w:w="120" w:type="dxa"/>
              <w:bottom w:w="80" w:type="dxa"/>
              <w:end w:w="120" w:type="dxa"/>
            </w:tcMar>
            <w:vAlign w:val="center"/>
          </w:tcPr>
          <w:p>
            <w:pPr>
              <w:spacing w:before="0" w:after="0" w:line="259" w:lineRule="auto"/>
            </w:pPr>
            <w:r/>
            <w:r>
              <w:rPr>
                <w:rFonts w:ascii="Calibri" w:hAnsi="Calibri"/>
                <w:b w:val="0"/>
                <w:color w:val="000000"/>
                <w:sz w:val="17"/>
              </w:rPr>
              <w:t>Idempotency required; records payment separate from allocation.</w:t>
            </w:r>
          </w:p>
        </w:tc>
      </w:tr>
      <w:tr>
        <w:tc>
          <w:tcPr>
            <w:tcW w:type="dxa" w:w="2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/payments/{id}/allocations</w:t>
            </w:r>
          </w:p>
        </w:tc>
        <w:tc>
          <w:tcPr>
            <w:tcW w:type="dxa" w:w="2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Apply payment to orders</w:t>
            </w:r>
          </w:p>
        </w:tc>
        <w:tc>
          <w:tcPr>
            <w:tcW w:type="dxa" w:w="38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Cannot exceed remaining payment or order outstanding balance.</w:t>
            </w:r>
          </w:p>
        </w:tc>
      </w:tr>
      <w:tr>
        <w:tc>
          <w:tcPr>
            <w:tcW w:type="dxa" w:w="2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/ledger/transactions</w:t>
            </w:r>
          </w:p>
        </w:tc>
        <w:tc>
          <w:tcPr>
            <w:tcW w:type="dxa" w:w="2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Record manual expense, reimbursement or withdrawal</w:t>
            </w:r>
          </w:p>
        </w:tc>
        <w:tc>
          <w:tcPr>
            <w:tcW w:type="dxa" w:w="3810"/>
            <w:tcMar>
              <w:top w:w="80" w:type="dxa"/>
              <w:start w:w="120" w:type="dxa"/>
              <w:bottom w:w="80" w:type="dxa"/>
              <w:end w:w="120" w:type="dxa"/>
            </w:tcMar>
            <w:vAlign w:val="center"/>
          </w:tcPr>
          <w:p>
            <w:pPr>
              <w:spacing w:before="0" w:after="0" w:line="259" w:lineRule="auto"/>
            </w:pPr>
            <w:r/>
            <w:r>
              <w:rPr>
                <w:rFonts w:ascii="Calibri" w:hAnsi="Calibri"/>
                <w:b w:val="0"/>
                <w:color w:val="000000"/>
                <w:sz w:val="17"/>
              </w:rPr>
              <w:t>Core partner; immutable source record and category/cycle reference required when applicable.</w:t>
            </w:r>
          </w:p>
        </w:tc>
      </w:tr>
      <w:tr>
        <w:tc>
          <w:tcPr>
            <w:tcW w:type="dxa" w:w="2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/ledger/transactions/{id}/reverse</w:t>
            </w:r>
          </w:p>
        </w:tc>
        <w:tc>
          <w:tcPr>
            <w:tcW w:type="dxa" w:w="2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Reverse ledger entry</w:t>
            </w:r>
          </w:p>
        </w:tc>
        <w:tc>
          <w:tcPr>
            <w:tcW w:type="dxa" w:w="38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Creates linked offsetting transaction; requires reason.</w:t>
            </w:r>
          </w:p>
        </w:tc>
      </w:tr>
      <w:tr>
        <w:tc>
          <w:tcPr>
            <w:tcW w:type="dxa" w:w="2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/cycles/{id}/settlements/preview</w:t>
            </w:r>
          </w:p>
        </w:tc>
        <w:tc>
          <w:tcPr>
            <w:tcW w:type="dxa" w:w="2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Generate settlement calculation</w:t>
            </w:r>
          </w:p>
        </w:tc>
        <w:tc>
          <w:tcPr>
            <w:tcW w:type="dxa" w:w="3810"/>
            <w:tcMar>
              <w:top w:w="80" w:type="dxa"/>
              <w:start w:w="120" w:type="dxa"/>
              <w:bottom w:w="80" w:type="dxa"/>
              <w:end w:w="120" w:type="dxa"/>
            </w:tcMar>
            <w:vAlign w:val="center"/>
          </w:tcPr>
          <w:p>
            <w:pPr>
              <w:spacing w:before="0" w:after="0" w:line="259" w:lineRule="auto"/>
            </w:pPr>
            <w:r/>
            <w:r>
              <w:rPr>
                <w:rFonts w:ascii="Calibri" w:hAnsi="Calibri"/>
                <w:b w:val="0"/>
                <w:color w:val="000000"/>
                <w:sz w:val="17"/>
              </w:rPr>
              <w:t>Read-only draft based on a timestamped snapshot; flags unresolved decision gates.</w:t>
            </w:r>
          </w:p>
        </w:tc>
      </w:tr>
      <w:tr>
        <w:tc>
          <w:tcPr>
            <w:tcW w:type="dxa" w:w="2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/cycles/{id}/settlements</w:t>
            </w:r>
          </w:p>
        </w:tc>
        <w:tc>
          <w:tcPr>
            <w:tcW w:type="dxa" w:w="2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Approve settlement</w:t>
            </w:r>
          </w:p>
        </w:tc>
        <w:tc>
          <w:tcPr>
            <w:tcW w:type="dxa" w:w="38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Requires approved closing treatment and valid profit shares; locks snapshot.</w:t>
            </w:r>
          </w:p>
        </w:tc>
      </w:tr>
      <w:tr>
        <w:tc>
          <w:tcPr>
            <w:tcW w:type="dxa" w:w="2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GET /analytics/dashboard</w:t>
            </w:r>
          </w:p>
        </w:tc>
        <w:tc>
          <w:tcPr>
            <w:tcW w:type="dxa" w:w="2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Get dashboard KPIs</w:t>
            </w:r>
          </w:p>
        </w:tc>
        <w:tc>
          <w:tcPr>
            <w:tcW w:type="dxa" w:w="3810"/>
            <w:tcMar>
              <w:top w:w="80" w:type="dxa"/>
              <w:start w:w="120" w:type="dxa"/>
              <w:bottom w:w="80" w:type="dxa"/>
              <w:end w:w="120" w:type="dxa"/>
            </w:tcMar>
            <w:vAlign w:val="center"/>
          </w:tcPr>
          <w:p>
            <w:pPr>
              <w:spacing w:before="0" w:after="0" w:line="259" w:lineRule="auto"/>
            </w:pPr>
            <w:r/>
            <w:r>
              <w:rPr>
                <w:rFonts w:ascii="Calibri" w:hAnsi="Calibri"/>
                <w:b w:val="0"/>
                <w:color w:val="000000"/>
                <w:sz w:val="17"/>
              </w:rPr>
              <w:t>Computed server-side; filter by date range / cycle / channel.</w:t>
            </w:r>
          </w:p>
        </w:tc>
      </w:tr>
      <w:tr>
        <w:tc>
          <w:tcPr>
            <w:tcW w:type="dxa" w:w="2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GET /audit-logs</w:t>
            </w:r>
          </w:p>
        </w:tc>
        <w:tc>
          <w:tcPr>
            <w:tcW w:type="dxa" w:w="2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List auditable history</w:t>
            </w:r>
          </w:p>
        </w:tc>
        <w:tc>
          <w:tcPr>
            <w:tcW w:type="dxa" w:w="38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Core partner only; filters entity/actor/action/date.</w:t>
            </w:r>
          </w:p>
        </w:tc>
      </w:tr>
      <w:tr>
        <w:tc>
          <w:tcPr>
            <w:tcW w:type="dxa" w:w="2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POST /product-requests</w:t>
            </w:r>
          </w:p>
        </w:tc>
        <w:tc>
          <w:tcPr>
            <w:tcW w:type="dxa" w:w="2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Submit shop request</w:t>
            </w:r>
          </w:p>
        </w:tc>
        <w:tc>
          <w:tcPr>
            <w:tcW w:type="dxa" w:w="3810"/>
            <w:tcMar>
              <w:top w:w="80" w:type="dxa"/>
              <w:start w:w="120" w:type="dxa"/>
              <w:bottom w:w="80" w:type="dxa"/>
              <w:end w:w="120" w:type="dxa"/>
            </w:tcMar>
            <w:vAlign w:val="center"/>
          </w:tcPr>
          <w:p>
            <w:pPr>
              <w:spacing w:before="0" w:after="0" w:line="259" w:lineRule="auto"/>
            </w:pPr>
            <w:r>
              <w:t>Verified shop portal only; server derives customer ownership, removes unsafe fields, and cannot be used through the internal system.</w:t>
            </w:r>
            <w:r>
              <w:rPr>
                <w:rFonts w:ascii="Calibri" w:hAnsi="Calibri"/>
                <w:b w:val="0"/>
                <w:color w:val="000000"/>
                <w:sz w:val="17"/>
              </w:rPr>
            </w:r>
          </w:p>
        </w:tc>
      </w:tr>
    </w:tbl>
    <w:p>
      <w:pPr>
        <w:spacing w:before="0" w:after="80"/>
      </w:pPr>
    </w:p>
    <w:p>
      <w:pPr>
        <w:pStyle w:val="Heading2"/>
      </w:pPr>
      <w:r>
        <w:rPr>
          <w:rFonts w:ascii="Calibri" w:hAnsi="Calibri"/>
          <w:b/>
          <w:color w:val="2E74B5"/>
          <w:sz w:val="26"/>
        </w:rPr>
        <w:t>8.3 Example - Confirm Sale Order</w:t>
      </w:r>
    </w:p>
    <w:p>
      <w:pPr>
        <w:spacing w:before="0" w:after="160" w:line="264" w:lineRule="auto"/>
      </w:pPr>
      <w:r>
        <w:rPr>
          <w:rFonts w:ascii="Calibri" w:hAnsi="Calibri"/>
          <w:b w:val="0"/>
          <w:i w:val="0"/>
          <w:color w:val="000000"/>
          <w:sz w:val="22"/>
        </w:rPr>
        <w:t>Request: POST /api/v1/sales/orders/{orderId}/confirm with body { "version": 7 }. The server ignores any client-provided COGS or batch selection unless an approved privileged override workflow is later introduced. Response data includes order status, payment status, outstanding amount, and allocations [{ saleItemId, batchId, quantity, unitCostEgp, cogsEgp }]. On insufficient stock, return 422 INSUFFICIENT_STOCK with per-product availability; on version mismatch, return 409 VERSION_CONFLICT.</w:t>
      </w:r>
    </w:p>
    <w:p>
      <w:pPr>
        <w:pStyle w:val="Heading1"/>
      </w:pPr>
      <w:r>
        <w:rPr>
          <w:rFonts w:ascii="Calibri" w:hAnsi="Calibri"/>
          <w:b/>
          <w:color w:val="2E74B5"/>
          <w:sz w:val="32"/>
        </w:rPr>
        <w:t>9. Page-Level Product Requirements</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650"/>
        <w:gridCol w:w="3150"/>
        <w:gridCol w:w="4560"/>
      </w:tblGrid>
      <w:tr>
        <w:trPr>
          <w:tblHeader w:val="true"/>
        </w:trPr>
        <w:tc>
          <w:tcPr>
            <w:tcW w:type="dxa" w:w="16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Screen</w:t>
            </w:r>
          </w:p>
        </w:tc>
        <w:tc>
          <w:tcPr>
            <w:tcW w:type="dxa" w:w="31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Primary user actions</w:t>
            </w:r>
          </w:p>
        </w:tc>
        <w:tc>
          <w:tcPr>
            <w:tcW w:type="dxa" w:w="4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Required data / controls</w:t>
            </w:r>
          </w:p>
        </w:tc>
      </w:tr>
      <w:tr>
        <w:tc>
          <w:tcPr>
            <w:tcW w:type="dxa" w:w="1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Dashboard</w:t>
            </w:r>
          </w:p>
        </w:tc>
        <w:tc>
          <w:tcPr>
            <w:tcW w:type="dxa" w:w="3150"/>
            <w:tcMar>
              <w:top w:w="80" w:type="dxa"/>
              <w:start w:w="120" w:type="dxa"/>
              <w:bottom w:w="80" w:type="dxa"/>
              <w:end w:w="120" w:type="dxa"/>
            </w:tcMar>
            <w:vAlign w:val="center"/>
          </w:tcPr>
          <w:p>
            <w:pPr>
              <w:spacing w:before="0" w:after="0" w:line="259" w:lineRule="auto"/>
            </w:pPr>
            <w:r/>
            <w:r>
              <w:rPr>
                <w:rFonts w:ascii="Calibri" w:hAnsi="Calibri"/>
                <w:b w:val="0"/>
                <w:color w:val="000000"/>
                <w:sz w:val="17"/>
              </w:rPr>
              <w:t>View operating health and drill into alerts</w:t>
            </w:r>
          </w:p>
        </w:tc>
        <w:tc>
          <w:tcPr>
            <w:tcW w:type="dxa" w:w="4560"/>
            <w:tcMar>
              <w:top w:w="80" w:type="dxa"/>
              <w:start w:w="120" w:type="dxa"/>
              <w:bottom w:w="80" w:type="dxa"/>
              <w:end w:w="120" w:type="dxa"/>
            </w:tcMar>
            <w:vAlign w:val="center"/>
          </w:tcPr>
          <w:p>
            <w:pPr>
              <w:spacing w:before="0" w:after="0" w:line="259" w:lineRule="auto"/>
            </w:pPr>
            <w:r/>
            <w:r>
              <w:rPr>
                <w:rFonts w:ascii="Calibri" w:hAnsi="Calibri"/>
                <w:b w:val="0"/>
                <w:color w:val="000000"/>
                <w:sz w:val="17"/>
              </w:rPr>
              <w:t>Revenue, gross/net profit, expenses, inventory value, receivables, active cycles, low-stock, due/overdue and verification alerts; date/cycle/channel filters.</w:t>
            </w:r>
          </w:p>
        </w:tc>
      </w:tr>
      <w:tr>
        <w:tc>
          <w:tcPr>
            <w:tcW w:type="dxa" w:w="1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Cycles</w:t>
            </w:r>
          </w:p>
        </w:tc>
        <w:tc>
          <w:tcPr>
            <w:tcW w:type="dxa" w:w="31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Create, plan, transition, view settlement</w:t>
            </w:r>
          </w:p>
        </w:tc>
        <w:tc>
          <w:tcPr>
            <w:tcW w:type="dxa" w:w="45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Status timeline, participants, purchases, logistics legs, expected vs actual costs, linked batches, financial events, unresolved decision gates.</w:t>
            </w:r>
          </w:p>
        </w:tc>
      </w:tr>
      <w:tr>
        <w:tc>
          <w:tcPr>
            <w:tcW w:type="dxa" w:w="1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Purchases</w:t>
            </w:r>
          </w:p>
        </w:tc>
        <w:tc>
          <w:tcPr>
            <w:tcW w:type="dxa" w:w="3150"/>
            <w:tcMar>
              <w:top w:w="80" w:type="dxa"/>
              <w:start w:w="120" w:type="dxa"/>
              <w:bottom w:w="80" w:type="dxa"/>
              <w:end w:w="120" w:type="dxa"/>
            </w:tcMar>
            <w:vAlign w:val="center"/>
          </w:tcPr>
          <w:p>
            <w:pPr>
              <w:spacing w:before="0" w:after="0" w:line="259" w:lineRule="auto"/>
            </w:pPr>
            <w:r/>
            <w:r>
              <w:rPr>
                <w:rFonts w:ascii="Calibri" w:hAnsi="Calibri"/>
                <w:b w:val="0"/>
                <w:color w:val="000000"/>
                <w:sz w:val="17"/>
              </w:rPr>
              <w:t>Create supplier orders and record refunds</w:t>
            </w:r>
          </w:p>
        </w:tc>
        <w:tc>
          <w:tcPr>
            <w:tcW w:type="dxa" w:w="4560"/>
            <w:tcMar>
              <w:top w:w="80" w:type="dxa"/>
              <w:start w:w="120" w:type="dxa"/>
              <w:bottom w:w="80" w:type="dxa"/>
              <w:end w:w="120" w:type="dxa"/>
            </w:tcMar>
            <w:vAlign w:val="center"/>
          </w:tcPr>
          <w:p>
            <w:pPr>
              <w:spacing w:before="0" w:after="0" w:line="259" w:lineRule="auto"/>
            </w:pPr>
            <w:r/>
            <w:r>
              <w:rPr>
                <w:rFonts w:ascii="Calibri" w:hAnsi="Calibri"/>
                <w:b w:val="0"/>
                <w:color w:val="000000"/>
                <w:sz w:val="17"/>
              </w:rPr>
              <w:t>Supplier, references/links, original currency/FX, product lines, ordered vs received quantity, attachments and refund history.</w:t>
            </w:r>
          </w:p>
        </w:tc>
      </w:tr>
      <w:tr>
        <w:tc>
          <w:tcPr>
            <w:tcW w:type="dxa" w:w="1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Shipments</w:t>
            </w:r>
          </w:p>
        </w:tc>
        <w:tc>
          <w:tcPr>
            <w:tcW w:type="dxa" w:w="31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Track logistics legs</w:t>
            </w:r>
          </w:p>
        </w:tc>
        <w:tc>
          <w:tcPr>
            <w:tcW w:type="dxa" w:w="45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Origin/destination, provider, tracking, dates, status, total combined UAE-to-Egypt cost, linked cycle.</w:t>
            </w:r>
          </w:p>
        </w:tc>
      </w:tr>
      <w:tr>
        <w:tc>
          <w:tcPr>
            <w:tcW w:type="dxa" w:w="1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Products</w:t>
            </w:r>
          </w:p>
        </w:tc>
        <w:tc>
          <w:tcPr>
            <w:tcW w:type="dxa" w:w="3150"/>
            <w:tcMar>
              <w:top w:w="80" w:type="dxa"/>
              <w:start w:w="120" w:type="dxa"/>
              <w:bottom w:w="80" w:type="dxa"/>
              <w:end w:w="120" w:type="dxa"/>
            </w:tcMar>
            <w:vAlign w:val="center"/>
          </w:tcPr>
          <w:p>
            <w:pPr>
              <w:spacing w:before="0" w:after="0" w:line="259" w:lineRule="auto"/>
            </w:pPr>
            <w:r/>
            <w:r>
              <w:rPr>
                <w:rFonts w:ascii="Calibri" w:hAnsi="Calibri"/>
                <w:b w:val="0"/>
                <w:color w:val="000000"/>
                <w:sz w:val="17"/>
              </w:rPr>
              <w:t>Manage catalog and pricing</w:t>
            </w:r>
          </w:p>
        </w:tc>
        <w:tc>
          <w:tcPr>
            <w:tcW w:type="dxa" w:w="4560"/>
            <w:tcMar>
              <w:top w:w="80" w:type="dxa"/>
              <w:start w:w="120" w:type="dxa"/>
              <w:bottom w:w="80" w:type="dxa"/>
              <w:end w:w="120" w:type="dxa"/>
            </w:tcMar>
            <w:vAlign w:val="center"/>
          </w:tcPr>
          <w:p>
            <w:pPr>
              <w:spacing w:before="0" w:after="0" w:line="259" w:lineRule="auto"/>
            </w:pPr>
            <w:r/>
            <w:r>
              <w:rPr>
                <w:rFonts w:ascii="Calibri" w:hAnsi="Calibri"/>
                <w:b w:val="0"/>
                <w:color w:val="000000"/>
                <w:sz w:val="17"/>
              </w:rPr>
              <w:t>System SKU, photos, category, compatibility, suppliers, B2B/B2C price history, min stock, safe customer preview.</w:t>
            </w:r>
          </w:p>
        </w:tc>
      </w:tr>
      <w:tr>
        <w:tc>
          <w:tcPr>
            <w:tcW w:type="dxa" w:w="1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Inventory</w:t>
            </w:r>
          </w:p>
        </w:tc>
        <w:tc>
          <w:tcPr>
            <w:tcW w:type="dxa" w:w="31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Inspect stock and movements</w:t>
            </w:r>
          </w:p>
        </w:tc>
        <w:tc>
          <w:tcPr>
            <w:tcW w:type="dxa" w:w="45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Product totals plus batch-level cycle, cost, received/remaining/reserved/available, FIFO order and full movement history.</w:t>
            </w:r>
          </w:p>
        </w:tc>
      </w:tr>
      <w:tr>
        <w:tc>
          <w:tcPr>
            <w:tcW w:type="dxa" w:w="1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Sales / customers</w:t>
            </w:r>
          </w:p>
        </w:tc>
        <w:tc>
          <w:tcPr>
            <w:tcW w:type="dxa" w:w="3150"/>
            <w:tcMar>
              <w:top w:w="80" w:type="dxa"/>
              <w:start w:w="120" w:type="dxa"/>
              <w:bottom w:w="80" w:type="dxa"/>
              <w:end w:w="120" w:type="dxa"/>
            </w:tcMar>
            <w:vAlign w:val="center"/>
          </w:tcPr>
          <w:p>
            <w:pPr>
              <w:spacing w:before="0" w:after="0" w:line="259" w:lineRule="auto"/>
            </w:pPr>
            <w:r/>
            <w:r>
              <w:rPr>
                <w:rFonts w:ascii="Calibri" w:hAnsi="Calibri"/>
                <w:b w:val="0"/>
                <w:color w:val="000000"/>
                <w:sz w:val="17"/>
              </w:rPr>
              <w:t>Create B2B/B2C orders, payments and receivables</w:t>
            </w:r>
          </w:p>
        </w:tc>
        <w:tc>
          <w:tcPr>
            <w:tcW w:type="dxa" w:w="4560"/>
            <w:tcMar>
              <w:top w:w="80" w:type="dxa"/>
              <w:start w:w="120" w:type="dxa"/>
              <w:bottom w:w="80" w:type="dxa"/>
              <w:end w:w="120" w:type="dxa"/>
            </w:tcMar>
            <w:vAlign w:val="center"/>
          </w:tcPr>
          <w:p>
            <w:pPr>
              <w:spacing w:before="0" w:after="0" w:line="259" w:lineRule="auto"/>
            </w:pPr>
            <w:r/>
            <w:r>
              <w:rPr>
                <w:rFonts w:ascii="Calibri" w:hAnsi="Calibri"/>
                <w:b w:val="0"/>
                <w:color w:val="000000"/>
                <w:sz w:val="17"/>
              </w:rPr>
              <w:t>Customer history, channel, price snapshot, allocations, payment schedule, applied payments, outstanding balance, returns/adjustments.</w:t>
            </w:r>
          </w:p>
        </w:tc>
      </w:tr>
      <w:tr>
        <w:tc>
          <w:tcPr>
            <w:tcW w:type="dxa" w:w="1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Ledger</w:t>
            </w:r>
          </w:p>
        </w:tc>
        <w:tc>
          <w:tcPr>
            <w:tcW w:type="dxa" w:w="31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Record monetary events</w:t>
            </w:r>
          </w:p>
        </w:tc>
        <w:tc>
          <w:tcPr>
            <w:tcW w:type="dxa" w:w="45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Contribution, purchase, shipping, expense, refund, reimbursement, withdrawal, settlement; filters by account, category and cycle; reversal action.</w:t>
            </w:r>
          </w:p>
        </w:tc>
      </w:tr>
      <w:tr>
        <w:tc>
          <w:tcPr>
            <w:tcW w:type="dxa" w:w="1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Partners / investors</w:t>
            </w:r>
          </w:p>
        </w:tc>
        <w:tc>
          <w:tcPr>
            <w:tcW w:type="dxa" w:w="3150"/>
            <w:tcMar>
              <w:top w:w="80" w:type="dxa"/>
              <w:start w:w="120" w:type="dxa"/>
              <w:bottom w:w="80" w:type="dxa"/>
              <w:end w:w="120" w:type="dxa"/>
            </w:tcMar>
            <w:vAlign w:val="center"/>
          </w:tcPr>
          <w:p>
            <w:pPr>
              <w:spacing w:before="0" w:after="0" w:line="259" w:lineRule="auto"/>
            </w:pPr>
            <w:r/>
            <w:r>
              <w:rPr>
                <w:rFonts w:ascii="Calibri" w:hAnsi="Calibri"/>
                <w:b w:val="0"/>
                <w:color w:val="000000"/>
                <w:sz w:val="17"/>
              </w:rPr>
              <w:t>Manage participants and view authorized results</w:t>
            </w:r>
          </w:p>
        </w:tc>
        <w:tc>
          <w:tcPr>
            <w:tcW w:type="dxa" w:w="4560"/>
            <w:tcMar>
              <w:top w:w="80" w:type="dxa"/>
              <w:start w:w="120" w:type="dxa"/>
              <w:bottom w:w="80" w:type="dxa"/>
              <w:end w:w="120" w:type="dxa"/>
            </w:tcMar>
            <w:vAlign w:val="center"/>
          </w:tcPr>
          <w:p>
            <w:pPr>
              <w:spacing w:before="0" w:after="0" w:line="259" w:lineRule="auto"/>
            </w:pPr>
            <w:r/>
            <w:r>
              <w:rPr>
                <w:rFonts w:ascii="Calibri" w:hAnsi="Calibri"/>
                <w:b w:val="0"/>
                <w:color w:val="000000"/>
                <w:sz w:val="17"/>
              </w:rPr>
              <w:t>Cycle contributions, agreement terms, contribution/profit by cycle, capital return and profit lines; investor scope is record-limited.</w:t>
            </w:r>
          </w:p>
        </w:tc>
      </w:tr>
      <w:tr>
        <w:tc>
          <w:tcPr>
            <w:tcW w:type="dxa" w:w="1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Analytics</w:t>
            </w:r>
          </w:p>
        </w:tc>
        <w:tc>
          <w:tcPr>
            <w:tcW w:type="dxa" w:w="31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Compare performance</w:t>
            </w:r>
          </w:p>
        </w:tc>
        <w:tc>
          <w:tcPr>
            <w:tcW w:type="dxa" w:w="45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Day/week/month/quarter/year/custom ranges; cycles/orders/products/customers/channels; cash flow separate from accounting profit.</w:t>
            </w:r>
          </w:p>
        </w:tc>
      </w:tr>
      <w:tr>
        <w:tc>
          <w:tcPr>
            <w:tcW w:type="dxa" w:w="1650"/>
            <w:tcMar>
              <w:top w:w="80" w:type="dxa"/>
              <w:start w:w="120" w:type="dxa"/>
              <w:bottom w:w="80" w:type="dxa"/>
              <w:end w:w="120" w:type="dxa"/>
            </w:tcMar>
            <w:vAlign w:val="center"/>
          </w:tcPr>
          <w:p>
            <w:pPr>
              <w:spacing w:before="0" w:after="0" w:line="259" w:lineRule="auto"/>
            </w:pPr>
            <w:r/>
            <w:r>
              <w:rPr>
                <w:rFonts w:ascii="Calibri" w:hAnsi="Calibri"/>
                <w:b w:val="0"/>
                <w:color w:val="000000"/>
                <w:sz w:val="17"/>
              </w:rPr>
              <w:t>Notifications</w:t>
            </w:r>
          </w:p>
        </w:tc>
        <w:tc>
          <w:tcPr>
            <w:tcW w:type="dxa" w:w="3150"/>
            <w:tcMar>
              <w:top w:w="80" w:type="dxa"/>
              <w:start w:w="120" w:type="dxa"/>
              <w:bottom w:w="80" w:type="dxa"/>
              <w:end w:w="120" w:type="dxa"/>
            </w:tcMar>
            <w:vAlign w:val="center"/>
          </w:tcPr>
          <w:p>
            <w:pPr>
              <w:spacing w:before="0" w:after="0" w:line="259" w:lineRule="auto"/>
            </w:pPr>
            <w:r/>
            <w:r>
              <w:rPr>
                <w:rFonts w:ascii="Calibri" w:hAnsi="Calibri"/>
                <w:b w:val="0"/>
                <w:color w:val="000000"/>
                <w:sz w:val="17"/>
              </w:rPr>
              <w:t>Review and acknowledge alerts</w:t>
            </w:r>
          </w:p>
        </w:tc>
        <w:tc>
          <w:tcPr>
            <w:tcW w:type="dxa" w:w="4560"/>
            <w:tcMar>
              <w:top w:w="80" w:type="dxa"/>
              <w:start w:w="120" w:type="dxa"/>
              <w:bottom w:w="80" w:type="dxa"/>
              <w:end w:w="120" w:type="dxa"/>
            </w:tcMar>
            <w:vAlign w:val="center"/>
          </w:tcPr>
          <w:p>
            <w:pPr>
              <w:spacing w:before="0" w:after="0" w:line="259" w:lineRule="auto"/>
            </w:pPr>
            <w:r/>
            <w:r>
              <w:rPr>
                <w:rFonts w:ascii="Calibri" w:hAnsi="Calibri"/>
                <w:b w:val="0"/>
                <w:color w:val="000000"/>
                <w:sz w:val="17"/>
              </w:rPr>
              <w:t>In-app notification center with read state and deep links to source entities.</w:t>
            </w:r>
          </w:p>
        </w:tc>
      </w:tr>
      <w:tr>
        <w:tc>
          <w:tcPr>
            <w:tcW w:type="dxa" w:w="1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Audit logs</w:t>
            </w:r>
          </w:p>
        </w:tc>
        <w:tc>
          <w:tcPr>
            <w:tcW w:type="dxa" w:w="31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Investigate changes</w:t>
            </w:r>
          </w:p>
        </w:tc>
        <w:tc>
          <w:tcPr>
            <w:tcW w:type="dxa" w:w="45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Actor, action, time, entity, before/after values, correlation ID; immutable and filterable.</w:t>
            </w:r>
          </w:p>
        </w:tc>
      </w:tr>
    </w:tbl>
    <w:p>
      <w:pPr>
        <w:spacing w:before="0" w:after="80"/>
      </w:pPr>
    </w:p>
    <w:p>
      <w:pPr>
        <w:pStyle w:val="Heading2"/>
      </w:pPr>
      <w:r>
        <w:rPr>
          <w:rFonts w:ascii="Calibri" w:hAnsi="Calibri"/>
          <w:b/>
          <w:color w:val="2E74B5"/>
          <w:sz w:val="26"/>
        </w:rPr>
        <w:t>9.1 Phase 2 Customer Portal</w:t>
      </w:r>
    </w:p>
    <w:p>
      <w:pPr>
        <w:pStyle w:val="ListBullet"/>
        <w:spacing w:before="0" w:after="80" w:line="280" w:lineRule="auto"/>
      </w:pPr>
      <w:r>
        <w:rPr>
          <w:rFonts w:ascii="Calibri" w:hAnsi="Calibri"/>
          <w:color w:val="000000"/>
          <w:sz w:val="21"/>
        </w:rPr>
        <w:t>Public catalog: browse product name, images, description, compatibility and availability presentation. It does not expose B2B pricing without an authenticated verified shop account.</w:t>
      </w:r>
    </w:p>
    <w:p>
      <w:pPr>
        <w:pStyle w:val="ListBullet"/>
        <w:spacing w:before="0" w:after="80" w:line="280" w:lineRule="auto"/>
      </w:pPr>
      <w:r>
        <w:rPr>
          <w:rFonts w:ascii="Calibri" w:hAnsi="Calibri"/>
          <w:color w:val="000000"/>
          <w:sz w:val="21"/>
        </w:rPr>
        <w:t>Verified shop dashboard: view B2B price, own orders, product requests, payment history and current balance only.</w:t>
      </w:r>
    </w:p>
    <w:p>
      <w:pPr>
        <w:pStyle w:val="ListBullet"/>
        <w:spacing w:before="0" w:after="80" w:line="280" w:lineRule="auto"/>
      </w:pPr>
      <w:r>
        <w:rPr>
          <w:rFonts w:ascii="Calibri" w:hAnsi="Calibri"/>
          <w:color w:val="000000"/>
          <w:sz w:val="21"/>
        </w:rPr>
        <w:t>Request form: product name, motorcycle compatibility, desired quantity, notes, optional photo, and optional Alibaba/source link. The request becomes internal demand data and may be linked to a planned cycle.</w:t>
      </w:r>
    </w:p>
    <w:p>
      <w:pPr>
        <w:pStyle w:val="ListBullet"/>
        <w:spacing w:before="0" w:after="80" w:line="280" w:lineRule="auto"/>
      </w:pPr>
      <w:r>
        <w:rPr>
          <w:rFonts w:ascii="Calibri" w:hAnsi="Calibri"/>
          <w:color w:val="000000"/>
          <w:sz w:val="21"/>
        </w:rPr>
        <w:t>Order/request authorization: login and verified shop status are required before creating a request or order. The server derives customer ID from the authenticated account, never a route parameter supplied by the browser.</w:t>
      </w:r>
    </w:p>
    <w:p>
      <w:pPr>
        <w:pStyle w:val="Heading1"/>
      </w:pPr>
      <w:r>
        <w:rPr>
          <w:rFonts w:ascii="Calibri" w:hAnsi="Calibri"/>
          <w:b/>
          <w:color w:val="2E74B5"/>
          <w:sz w:val="32"/>
        </w:rPr>
        <w:t>10. Notifications, Audit, and Reporting</w:t>
      </w:r>
    </w:p>
    <w:p>
      <w:pPr>
        <w:pStyle w:val="Heading2"/>
      </w:pPr>
      <w:r>
        <w:rPr>
          <w:rFonts w:ascii="Calibri" w:hAnsi="Calibri"/>
          <w:b/>
          <w:color w:val="2E74B5"/>
          <w:sz w:val="26"/>
        </w:rPr>
        <w:t>10.1 Notification Events</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250"/>
        <w:gridCol w:w="2650"/>
        <w:gridCol w:w="4460"/>
      </w:tblGrid>
      <w:tr>
        <w:trPr>
          <w:tblHeader w:val="true"/>
        </w:trPr>
        <w:tc>
          <w:tcPr>
            <w:tcW w:type="dxa" w:w="22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Event</w:t>
            </w:r>
          </w:p>
        </w:tc>
        <w:tc>
          <w:tcPr>
            <w:tcW w:type="dxa" w:w="26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Recipients</w:t>
            </w:r>
          </w:p>
        </w:tc>
        <w:tc>
          <w:tcPr>
            <w:tcW w:type="dxa" w:w="44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Minimum payload</w:t>
            </w:r>
          </w:p>
        </w:tc>
      </w:tr>
      <w:tr>
        <w:tc>
          <w:tcPr>
            <w:tcW w:type="dxa" w:w="2250"/>
            <w:tcMar>
              <w:top w:w="80" w:type="dxa"/>
              <w:start w:w="120" w:type="dxa"/>
              <w:bottom w:w="80" w:type="dxa"/>
              <w:end w:w="120" w:type="dxa"/>
            </w:tcMar>
            <w:vAlign w:val="center"/>
          </w:tcPr>
          <w:p>
            <w:pPr>
              <w:spacing w:before="0" w:after="0" w:line="259" w:lineRule="auto"/>
            </w:pPr>
            <w:r/>
            <w:r>
              <w:rPr>
                <w:rFonts w:ascii="Calibri" w:hAnsi="Calibri"/>
                <w:b w:val="0"/>
                <w:color w:val="000000"/>
                <w:sz w:val="18"/>
              </w:rPr>
              <w:t>Low stock</w:t>
            </w:r>
          </w:p>
        </w:tc>
        <w:tc>
          <w:tcPr>
            <w:tcW w:type="dxa" w:w="2650"/>
            <w:tcMar>
              <w:top w:w="80" w:type="dxa"/>
              <w:start w:w="120" w:type="dxa"/>
              <w:bottom w:w="80" w:type="dxa"/>
              <w:end w:w="120" w:type="dxa"/>
            </w:tcMar>
            <w:vAlign w:val="center"/>
          </w:tcPr>
          <w:p>
            <w:pPr>
              <w:spacing w:before="0" w:after="0" w:line="259" w:lineRule="auto"/>
            </w:pPr>
            <w:r/>
            <w:r>
              <w:rPr>
                <w:rFonts w:ascii="Calibri" w:hAnsi="Calibri"/>
                <w:b w:val="0"/>
                <w:color w:val="000000"/>
                <w:sz w:val="18"/>
              </w:rPr>
              <w:t>All core partners</w:t>
            </w:r>
          </w:p>
        </w:tc>
        <w:tc>
          <w:tcPr>
            <w:tcW w:type="dxa" w:w="4460"/>
            <w:tcMar>
              <w:top w:w="80" w:type="dxa"/>
              <w:start w:w="120" w:type="dxa"/>
              <w:bottom w:w="80" w:type="dxa"/>
              <w:end w:w="120" w:type="dxa"/>
            </w:tcMar>
            <w:vAlign w:val="center"/>
          </w:tcPr>
          <w:p>
            <w:pPr>
              <w:spacing w:before="0" w:after="0" w:line="259" w:lineRule="auto"/>
            </w:pPr>
            <w:r/>
            <w:r>
              <w:rPr>
                <w:rFonts w:ascii="Calibri" w:hAnsi="Calibri"/>
                <w:b w:val="0"/>
                <w:color w:val="000000"/>
                <w:sz w:val="18"/>
              </w:rPr>
              <w:t>Product, available quantity, min stock, direct inventory link</w:t>
            </w:r>
          </w:p>
        </w:tc>
      </w:tr>
      <w:tr>
        <w:tc>
          <w:tcPr>
            <w:tcW w:type="dxa" w:w="22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New product request</w:t>
            </w:r>
          </w:p>
        </w:tc>
        <w:tc>
          <w:tcPr>
            <w:tcW w:type="dxa" w:w="2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All core partners</w:t>
            </w:r>
          </w:p>
        </w:tc>
        <w:tc>
          <w:tcPr>
            <w:tcW w:type="dxa" w:w="44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Customer, requested product/compatibility/quantity, request link</w:t>
            </w:r>
          </w:p>
        </w:tc>
      </w:tr>
      <w:tr>
        <w:tc>
          <w:tcPr>
            <w:tcW w:type="dxa" w:w="2250"/>
            <w:tcMar>
              <w:top w:w="80" w:type="dxa"/>
              <w:start w:w="120" w:type="dxa"/>
              <w:bottom w:w="80" w:type="dxa"/>
              <w:end w:w="120" w:type="dxa"/>
            </w:tcMar>
            <w:vAlign w:val="center"/>
          </w:tcPr>
          <w:p>
            <w:pPr>
              <w:spacing w:before="0" w:after="0" w:line="259" w:lineRule="auto"/>
            </w:pPr>
            <w:r/>
            <w:r>
              <w:rPr>
                <w:rFonts w:ascii="Calibri" w:hAnsi="Calibri"/>
                <w:b w:val="0"/>
                <w:color w:val="000000"/>
                <w:sz w:val="18"/>
              </w:rPr>
              <w:t>Payment due / overdue</w:t>
            </w:r>
          </w:p>
        </w:tc>
        <w:tc>
          <w:tcPr>
            <w:tcW w:type="dxa" w:w="2650"/>
            <w:tcMar>
              <w:top w:w="80" w:type="dxa"/>
              <w:start w:w="120" w:type="dxa"/>
              <w:bottom w:w="80" w:type="dxa"/>
              <w:end w:w="120" w:type="dxa"/>
            </w:tcMar>
            <w:vAlign w:val="center"/>
          </w:tcPr>
          <w:p>
            <w:pPr>
              <w:spacing w:before="0" w:after="0" w:line="259" w:lineRule="auto"/>
            </w:pPr>
            <w:r/>
            <w:r>
              <w:rPr>
                <w:rFonts w:ascii="Calibri" w:hAnsi="Calibri"/>
                <w:b w:val="0"/>
                <w:color w:val="000000"/>
                <w:sz w:val="18"/>
              </w:rPr>
              <w:t>Responsible internal users; future customer channel</w:t>
            </w:r>
          </w:p>
        </w:tc>
        <w:tc>
          <w:tcPr>
            <w:tcW w:type="dxa" w:w="4460"/>
            <w:tcMar>
              <w:top w:w="80" w:type="dxa"/>
              <w:start w:w="120" w:type="dxa"/>
              <w:bottom w:w="80" w:type="dxa"/>
              <w:end w:w="120" w:type="dxa"/>
            </w:tcMar>
            <w:vAlign w:val="center"/>
          </w:tcPr>
          <w:p>
            <w:pPr>
              <w:spacing w:before="0" w:after="0" w:line="259" w:lineRule="auto"/>
            </w:pPr>
            <w:r/>
            <w:r>
              <w:rPr>
                <w:rFonts w:ascii="Calibri" w:hAnsi="Calibri"/>
                <w:b w:val="0"/>
                <w:color w:val="000000"/>
                <w:sz w:val="18"/>
              </w:rPr>
              <w:t>Customer, amount, due date, order(s), rule/policy version</w:t>
            </w:r>
          </w:p>
        </w:tc>
      </w:tr>
      <w:tr>
        <w:tc>
          <w:tcPr>
            <w:tcW w:type="dxa" w:w="22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Shipment change</w:t>
            </w:r>
          </w:p>
        </w:tc>
        <w:tc>
          <w:tcPr>
            <w:tcW w:type="dxa" w:w="2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All core partners</w:t>
            </w:r>
          </w:p>
        </w:tc>
        <w:tc>
          <w:tcPr>
            <w:tcW w:type="dxa" w:w="44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Cycle, leg, old/new status, tracking reference</w:t>
            </w:r>
          </w:p>
        </w:tc>
      </w:tr>
      <w:tr>
        <w:tc>
          <w:tcPr>
            <w:tcW w:type="dxa" w:w="2250"/>
            <w:tcMar>
              <w:top w:w="80" w:type="dxa"/>
              <w:start w:w="120" w:type="dxa"/>
              <w:bottom w:w="80" w:type="dxa"/>
              <w:end w:w="120" w:type="dxa"/>
            </w:tcMar>
            <w:vAlign w:val="center"/>
          </w:tcPr>
          <w:p>
            <w:pPr>
              <w:spacing w:before="0" w:after="0" w:line="259" w:lineRule="auto"/>
            </w:pPr>
            <w:r/>
            <w:r>
              <w:rPr>
                <w:rFonts w:ascii="Calibri" w:hAnsi="Calibri"/>
                <w:b w:val="0"/>
                <w:color w:val="000000"/>
                <w:sz w:val="18"/>
              </w:rPr>
              <w:t>Arrival / verification required</w:t>
            </w:r>
          </w:p>
        </w:tc>
        <w:tc>
          <w:tcPr>
            <w:tcW w:type="dxa" w:w="2650"/>
            <w:tcMar>
              <w:top w:w="80" w:type="dxa"/>
              <w:start w:w="120" w:type="dxa"/>
              <w:bottom w:w="80" w:type="dxa"/>
              <w:end w:w="120" w:type="dxa"/>
            </w:tcMar>
            <w:vAlign w:val="center"/>
          </w:tcPr>
          <w:p>
            <w:pPr>
              <w:spacing w:before="0" w:after="0" w:line="259" w:lineRule="auto"/>
            </w:pPr>
            <w:r/>
            <w:r>
              <w:rPr>
                <w:rFonts w:ascii="Calibri" w:hAnsi="Calibri"/>
                <w:b w:val="0"/>
                <w:color w:val="000000"/>
                <w:sz w:val="18"/>
              </w:rPr>
              <w:t>All core partners</w:t>
            </w:r>
          </w:p>
        </w:tc>
        <w:tc>
          <w:tcPr>
            <w:tcW w:type="dxa" w:w="4460"/>
            <w:tcMar>
              <w:top w:w="80" w:type="dxa"/>
              <w:start w:w="120" w:type="dxa"/>
              <w:bottom w:w="80" w:type="dxa"/>
              <w:end w:w="120" w:type="dxa"/>
            </w:tcMar>
            <w:vAlign w:val="center"/>
          </w:tcPr>
          <w:p>
            <w:pPr>
              <w:spacing w:before="0" w:after="0" w:line="259" w:lineRule="auto"/>
            </w:pPr>
            <w:r/>
            <w:r>
              <w:rPr>
                <w:rFonts w:ascii="Calibri" w:hAnsi="Calibri"/>
                <w:b w:val="0"/>
                <w:color w:val="000000"/>
                <w:sz w:val="18"/>
              </w:rPr>
              <w:t>Cycle, arrival time, expected lines and verification task link</w:t>
            </w:r>
          </w:p>
        </w:tc>
      </w:tr>
      <w:tr>
        <w:tc>
          <w:tcPr>
            <w:tcW w:type="dxa" w:w="22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Refund / adjustment</w:t>
            </w:r>
          </w:p>
        </w:tc>
        <w:tc>
          <w:tcPr>
            <w:tcW w:type="dxa" w:w="26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All core partners</w:t>
            </w:r>
          </w:p>
        </w:tc>
        <w:tc>
          <w:tcPr>
            <w:tcW w:type="dxa" w:w="44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Source entity, amount/quantity, reason, actor</w:t>
            </w:r>
          </w:p>
        </w:tc>
      </w:tr>
      <w:tr>
        <w:tc>
          <w:tcPr>
            <w:tcW w:type="dxa" w:w="2250"/>
            <w:tcMar>
              <w:top w:w="80" w:type="dxa"/>
              <w:start w:w="120" w:type="dxa"/>
              <w:bottom w:w="80" w:type="dxa"/>
              <w:end w:w="120" w:type="dxa"/>
            </w:tcMar>
            <w:vAlign w:val="center"/>
          </w:tcPr>
          <w:p>
            <w:pPr>
              <w:spacing w:before="0" w:after="0" w:line="259" w:lineRule="auto"/>
            </w:pPr>
            <w:r/>
            <w:r>
              <w:rPr>
                <w:rFonts w:ascii="Calibri" w:hAnsi="Calibri"/>
                <w:b w:val="0"/>
                <w:color w:val="000000"/>
                <w:sz w:val="18"/>
              </w:rPr>
              <w:t>Settlement ready / paid</w:t>
            </w:r>
          </w:p>
        </w:tc>
        <w:tc>
          <w:tcPr>
            <w:tcW w:type="dxa" w:w="2650"/>
            <w:tcMar>
              <w:top w:w="80" w:type="dxa"/>
              <w:start w:w="120" w:type="dxa"/>
              <w:bottom w:w="80" w:type="dxa"/>
              <w:end w:w="120" w:type="dxa"/>
            </w:tcMar>
            <w:vAlign w:val="center"/>
          </w:tcPr>
          <w:p>
            <w:pPr>
              <w:spacing w:before="0" w:after="0" w:line="259" w:lineRule="auto"/>
            </w:pPr>
            <w:r/>
            <w:r>
              <w:rPr>
                <w:rFonts w:ascii="Calibri" w:hAnsi="Calibri"/>
                <w:b w:val="0"/>
                <w:color w:val="000000"/>
                <w:sz w:val="18"/>
              </w:rPr>
              <w:t>Applicable participants within permissions</w:t>
            </w:r>
          </w:p>
        </w:tc>
        <w:tc>
          <w:tcPr>
            <w:tcW w:type="dxa" w:w="4460"/>
            <w:tcMar>
              <w:top w:w="80" w:type="dxa"/>
              <w:start w:w="120" w:type="dxa"/>
              <w:bottom w:w="80" w:type="dxa"/>
              <w:end w:w="120" w:type="dxa"/>
            </w:tcMar>
            <w:vAlign w:val="center"/>
          </w:tcPr>
          <w:p>
            <w:pPr>
              <w:spacing w:before="0" w:after="0" w:line="259" w:lineRule="auto"/>
            </w:pPr>
            <w:r/>
            <w:r>
              <w:rPr>
                <w:rFonts w:ascii="Calibri" w:hAnsi="Calibri"/>
                <w:b w:val="0"/>
                <w:color w:val="000000"/>
                <w:sz w:val="18"/>
              </w:rPr>
              <w:t>Cycle, settlement status and own allowed amount view</w:t>
            </w:r>
          </w:p>
        </w:tc>
      </w:tr>
    </w:tbl>
    <w:p>
      <w:pPr>
        <w:spacing w:before="0" w:after="80"/>
      </w:pPr>
    </w:p>
    <w:p>
      <w:pPr>
        <w:pStyle w:val="Heading2"/>
      </w:pPr>
      <w:r>
        <w:rPr>
          <w:rFonts w:ascii="Calibri" w:hAnsi="Calibri"/>
          <w:b/>
          <w:color w:val="2E74B5"/>
          <w:sz w:val="26"/>
        </w:rPr>
        <w:t>10.2 Audit Event Standard</w:t>
      </w:r>
    </w:p>
    <w:p>
      <w:pPr>
        <w:spacing w:before="0" w:after="120" w:line="264" w:lineRule="auto"/>
      </w:pPr>
      <w:r>
        <w:rPr>
          <w:rFonts w:ascii="Calibri" w:hAnsi="Calibri"/>
          <w:b w:val="0"/>
          <w:i w:val="0"/>
          <w:color w:val="000000"/>
          <w:sz w:val="22"/>
        </w:rPr>
        <w:t>Audit events cover create/update/transition/reverse/approve/confirm/export/login where meaningful. Each event stores actor user ID, action, entity type/ID, UTC timestamp, correlation ID, source IP/user-agent where available, and before/after JSON snapshots for edited fields. Sensitive values such as password hashes, tokens, and payment-provider secrets are excluded. Audit records are append-only and are never editable through the normal API.</w:t>
      </w:r>
    </w:p>
    <w:p>
      <w:pPr>
        <w:pStyle w:val="Heading2"/>
      </w:pPr>
      <w:r>
        <w:rPr>
          <w:rFonts w:ascii="Calibri" w:hAnsi="Calibri"/>
          <w:b/>
          <w:color w:val="2E74B5"/>
          <w:sz w:val="26"/>
        </w:rPr>
        <w:t>10.3 KPI Definitions</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450"/>
        <w:gridCol w:w="6910"/>
      </w:tblGrid>
      <w:tr>
        <w:trPr>
          <w:tblHeader w:val="true"/>
        </w:trPr>
        <w:tc>
          <w:tcPr>
            <w:tcW w:type="dxa" w:w="24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KPI</w:t>
            </w:r>
          </w:p>
        </w:tc>
        <w:tc>
          <w:tcPr>
            <w:tcW w:type="dxa" w:w="691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Definition</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b w:val="0"/>
                <w:color w:val="000000"/>
                <w:sz w:val="18"/>
              </w:rPr>
              <w:t>Revenue</w:t>
            </w:r>
          </w:p>
        </w:tc>
        <w:tc>
          <w:tcPr>
            <w:tcW w:type="dxa" w:w="6910"/>
            <w:tcMar>
              <w:top w:w="80" w:type="dxa"/>
              <w:start w:w="120" w:type="dxa"/>
              <w:bottom w:w="80" w:type="dxa"/>
              <w:end w:w="120" w:type="dxa"/>
            </w:tcMar>
            <w:vAlign w:val="center"/>
          </w:tcPr>
          <w:p>
            <w:pPr>
              <w:spacing w:before="0" w:after="0" w:line="259" w:lineRule="auto"/>
            </w:pPr>
            <w:r/>
            <w:r>
              <w:rPr>
                <w:rFonts w:ascii="Calibri" w:hAnsi="Calibri"/>
                <w:b w:val="0"/>
                <w:color w:val="000000"/>
                <w:sz w:val="18"/>
              </w:rPr>
              <w:t>Confirmed net sale amount in selected period, excluding cancelled/refunded portions.</w:t>
            </w:r>
          </w:p>
        </w:tc>
      </w:tr>
      <w:tr>
        <w:tc>
          <w:tcPr>
            <w:tcW w:type="dxa" w:w="24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COGS</w:t>
            </w:r>
          </w:p>
        </w:tc>
        <w:tc>
          <w:tcPr>
            <w:tcW w:type="dxa" w:w="69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Sum of retained sale item allocation costs for eligible confirmed sales in selected period.</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b w:val="0"/>
                <w:color w:val="000000"/>
                <w:sz w:val="18"/>
              </w:rPr>
              <w:t>Gross profit / margin</w:t>
            </w:r>
          </w:p>
        </w:tc>
        <w:tc>
          <w:tcPr>
            <w:tcW w:type="dxa" w:w="6910"/>
            <w:tcMar>
              <w:top w:w="80" w:type="dxa"/>
              <w:start w:w="120" w:type="dxa"/>
              <w:bottom w:w="80" w:type="dxa"/>
              <w:end w:w="120" w:type="dxa"/>
            </w:tcMar>
            <w:vAlign w:val="center"/>
          </w:tcPr>
          <w:p>
            <w:pPr>
              <w:spacing w:before="0" w:after="0" w:line="259" w:lineRule="auto"/>
            </w:pPr>
            <w:r/>
            <w:r>
              <w:rPr>
                <w:rFonts w:ascii="Calibri" w:hAnsi="Calibri"/>
                <w:b w:val="0"/>
                <w:color w:val="000000"/>
                <w:sz w:val="18"/>
              </w:rPr>
              <w:t>Revenue - COGS; margin = gross profit / revenue when revenue &gt; 0.</w:t>
            </w:r>
          </w:p>
        </w:tc>
      </w:tr>
      <w:tr>
        <w:tc>
          <w:tcPr>
            <w:tcW w:type="dxa" w:w="24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Cash flow</w:t>
            </w:r>
          </w:p>
        </w:tc>
        <w:tc>
          <w:tcPr>
            <w:tcW w:type="dxa" w:w="69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Inflow - outflow from active financial transactions by transaction date, shown independently from profit.</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b w:val="0"/>
                <w:color w:val="000000"/>
                <w:sz w:val="18"/>
              </w:rPr>
              <w:t>Inventory value</w:t>
            </w:r>
          </w:p>
        </w:tc>
        <w:tc>
          <w:tcPr>
            <w:tcW w:type="dxa" w:w="6910"/>
            <w:tcMar>
              <w:top w:w="80" w:type="dxa"/>
              <w:start w:w="120" w:type="dxa"/>
              <w:bottom w:w="80" w:type="dxa"/>
              <w:end w:w="120" w:type="dxa"/>
            </w:tcMar>
            <w:vAlign w:val="center"/>
          </w:tcPr>
          <w:p>
            <w:pPr>
              <w:spacing w:before="0" w:after="0" w:line="259" w:lineRule="auto"/>
            </w:pPr>
            <w:r/>
            <w:r>
              <w:rPr>
                <w:rFonts w:ascii="Calibri" w:hAnsi="Calibri"/>
                <w:b w:val="0"/>
                <w:color w:val="000000"/>
                <w:sz w:val="18"/>
              </w:rPr>
              <w:t>SUM(batch remaining quantity x landed unit cost) for verified on-hand batches. Method shown as FIFO carrying-cost basis.</w:t>
            </w:r>
          </w:p>
        </w:tc>
      </w:tr>
      <w:tr>
        <w:tc>
          <w:tcPr>
            <w:tcW w:type="dxa" w:w="24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Receivables</w:t>
            </w:r>
          </w:p>
        </w:tc>
        <w:tc>
          <w:tcPr>
            <w:tcW w:type="dxa" w:w="69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Sum of outstanding balance on active confirmed/partially-paid orders.</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b w:val="0"/>
                <w:color w:val="000000"/>
                <w:sz w:val="18"/>
              </w:rPr>
              <w:t>Cycle ROI</w:t>
            </w:r>
          </w:p>
        </w:tc>
        <w:tc>
          <w:tcPr>
            <w:tcW w:type="dxa" w:w="6910"/>
            <w:tcMar>
              <w:top w:w="80" w:type="dxa"/>
              <w:start w:w="120" w:type="dxa"/>
              <w:bottom w:w="80" w:type="dxa"/>
              <w:end w:w="120" w:type="dxa"/>
            </w:tcMar>
            <w:vAlign w:val="center"/>
          </w:tcPr>
          <w:p>
            <w:pPr>
              <w:spacing w:before="0" w:after="0" w:line="259" w:lineRule="auto"/>
            </w:pPr>
            <w:r/>
            <w:r>
              <w:rPr>
                <w:rFonts w:ascii="Calibri" w:hAnsi="Calibri"/>
                <w:b w:val="0"/>
                <w:color w:val="000000"/>
                <w:sz w:val="18"/>
              </w:rPr>
              <w:t>Cycle distributable profit / actual invested contribution, presented only when denominator &gt; 0.</w:t>
            </w:r>
          </w:p>
        </w:tc>
      </w:tr>
    </w:tbl>
    <w:p>
      <w:pPr>
        <w:spacing w:before="0" w:after="80"/>
      </w:pPr>
    </w:p>
    <w:p>
      <w:pPr>
        <w:pStyle w:val="Heading1"/>
      </w:pPr>
      <w:r>
        <w:rPr>
          <w:rFonts w:ascii="Calibri" w:hAnsi="Calibri"/>
          <w:b/>
          <w:color w:val="2E74B5"/>
          <w:sz w:val="32"/>
        </w:rPr>
        <w:t>11. Non-Functional Requirements</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Category</w:t>
            </w:r>
          </w:p>
        </w:tc>
        <w:tc>
          <w:tcPr>
            <w:tcW w:type="dxa" w:w="72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Requirement</w:t>
            </w:r>
          </w:p>
        </w:tc>
      </w:tr>
      <w:tr>
        <w:tc>
          <w:tcPr>
            <w:tcW w:type="dxa" w:w="2100"/>
            <w:tcMar>
              <w:top w:w="80" w:type="dxa"/>
              <w:start w:w="120" w:type="dxa"/>
              <w:bottom w:w="80" w:type="dxa"/>
              <w:end w:w="120" w:type="dxa"/>
            </w:tcMar>
            <w:vAlign w:val="center"/>
          </w:tcPr>
          <w:p>
            <w:pPr>
              <w:spacing w:before="0" w:after="0" w:line="259" w:lineRule="auto"/>
            </w:pPr>
            <w:r/>
            <w:r>
              <w:rPr>
                <w:rFonts w:ascii="Calibri" w:hAnsi="Calibri"/>
                <w:b w:val="0"/>
                <w:color w:val="000000"/>
                <w:sz w:val="18"/>
              </w:rPr>
              <w:t>Security</w:t>
            </w:r>
          </w:p>
        </w:tc>
        <w:tc>
          <w:tcPr>
            <w:tcW w:type="dxa" w:w="7260"/>
            <w:tcMar>
              <w:top w:w="80" w:type="dxa"/>
              <w:start w:w="120" w:type="dxa"/>
              <w:bottom w:w="80" w:type="dxa"/>
              <w:end w:w="120" w:type="dxa"/>
            </w:tcMar>
            <w:vAlign w:val="center"/>
          </w:tcPr>
          <w:p>
            <w:pPr>
              <w:spacing w:before="0" w:after="0" w:line="259" w:lineRule="auto"/>
            </w:pPr>
            <w:r/>
            <w:r>
              <w:rPr>
                <w:rFonts w:ascii="Calibri" w:hAnsi="Calibri"/>
                <w:b w:val="0"/>
                <w:color w:val="000000"/>
                <w:sz w:val="18"/>
              </w:rPr>
              <w:t>HTTPS only; password hashing with a modern adaptive algorithm; secure session/token handling; RBAC plus record-level authorization; signed object URLs; rate limiting for auth and public endpoints.</w:t>
            </w:r>
          </w:p>
        </w:tc>
      </w:tr>
      <w:tr>
        <w:tc>
          <w:tcPr>
            <w:tcW w:type="dxa" w:w="2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Precision</w:t>
            </w:r>
          </w:p>
        </w:tc>
        <w:tc>
          <w:tcPr>
            <w:tcW w:type="dxa" w:w="72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Use database NUMERIC / Prisma Decimal. Reject JavaScript Number for authoritative money, FX, quantity, cost, balance and share calculations. Define rounding at storage and presentation boundaries.</w:t>
            </w:r>
          </w:p>
        </w:tc>
      </w:tr>
      <w:tr>
        <w:tc>
          <w:tcPr>
            <w:tcW w:type="dxa" w:w="2100"/>
            <w:tcMar>
              <w:top w:w="80" w:type="dxa"/>
              <w:start w:w="120" w:type="dxa"/>
              <w:bottom w:w="80" w:type="dxa"/>
              <w:end w:w="120" w:type="dxa"/>
            </w:tcMar>
            <w:vAlign w:val="center"/>
          </w:tcPr>
          <w:p>
            <w:pPr>
              <w:spacing w:before="0" w:after="0" w:line="259" w:lineRule="auto"/>
            </w:pPr>
            <w:r/>
            <w:r>
              <w:rPr>
                <w:rFonts w:ascii="Calibri" w:hAnsi="Calibri"/>
                <w:b w:val="0"/>
                <w:color w:val="000000"/>
                <w:sz w:val="18"/>
              </w:rPr>
              <w:t>Transactional integrity</w:t>
            </w:r>
          </w:p>
        </w:tc>
        <w:tc>
          <w:tcPr>
            <w:tcW w:type="dxa" w:w="7260"/>
            <w:tcMar>
              <w:top w:w="80" w:type="dxa"/>
              <w:start w:w="120" w:type="dxa"/>
              <w:bottom w:w="80" w:type="dxa"/>
              <w:end w:w="120" w:type="dxa"/>
            </w:tcMar>
            <w:vAlign w:val="center"/>
          </w:tcPr>
          <w:p>
            <w:pPr>
              <w:spacing w:before="0" w:after="0" w:line="259" w:lineRule="auto"/>
            </w:pPr>
            <w:r/>
            <w:r>
              <w:rPr>
                <w:rFonts w:ascii="Calibri" w:hAnsi="Calibri"/>
                <w:b w:val="0"/>
                <w:color w:val="000000"/>
                <w:sz w:val="18"/>
              </w:rPr>
              <w:t>Receiving, sale confirmation, payment allocation, ledger reversal and settlement approval run inside database transactions. Stock writes lock affected batch rows.</w:t>
            </w:r>
          </w:p>
        </w:tc>
      </w:tr>
      <w:tr>
        <w:tc>
          <w:tcPr>
            <w:tcW w:type="dxa" w:w="2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Idempotency</w:t>
            </w:r>
          </w:p>
        </w:tc>
        <w:tc>
          <w:tcPr>
            <w:tcW w:type="dxa" w:w="72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Persist idempotency keys and request fingerprint for money and stock mutations. Repeating the same accepted request returns the original response without duplicate rows.</w:t>
            </w:r>
          </w:p>
        </w:tc>
      </w:tr>
      <w:tr>
        <w:tc>
          <w:tcPr>
            <w:tcW w:type="dxa" w:w="2100"/>
            <w:tcMar>
              <w:top w:w="80" w:type="dxa"/>
              <w:start w:w="120" w:type="dxa"/>
              <w:bottom w:w="80" w:type="dxa"/>
              <w:end w:w="120" w:type="dxa"/>
            </w:tcMar>
            <w:vAlign w:val="center"/>
          </w:tcPr>
          <w:p>
            <w:pPr>
              <w:spacing w:before="0" w:after="0" w:line="259" w:lineRule="auto"/>
            </w:pPr>
            <w:r/>
            <w:r>
              <w:rPr>
                <w:rFonts w:ascii="Calibri" w:hAnsi="Calibri"/>
                <w:b w:val="0"/>
                <w:color w:val="000000"/>
                <w:sz w:val="18"/>
              </w:rPr>
              <w:t>Performance</w:t>
            </w:r>
          </w:p>
        </w:tc>
        <w:tc>
          <w:tcPr>
            <w:tcW w:type="dxa" w:w="7260"/>
            <w:tcMar>
              <w:top w:w="80" w:type="dxa"/>
              <w:start w:w="120" w:type="dxa"/>
              <w:bottom w:w="80" w:type="dxa"/>
              <w:end w:w="120" w:type="dxa"/>
            </w:tcMar>
            <w:vAlign w:val="center"/>
          </w:tcPr>
          <w:p>
            <w:pPr>
              <w:spacing w:before="0" w:after="0" w:line="259" w:lineRule="auto"/>
            </w:pPr>
            <w:r/>
            <w:r>
              <w:rPr>
                <w:rFonts w:ascii="Calibri" w:hAnsi="Calibri"/>
                <w:b w:val="0"/>
                <w:color w:val="000000"/>
                <w:sz w:val="18"/>
              </w:rPr>
              <w:t>P95 API latency target: &lt;500 ms for common reads and &lt;1.5 s for transactional writes under MVP load. Paginate all lists; export/report large ranges asynchronously.</w:t>
            </w:r>
          </w:p>
        </w:tc>
      </w:tr>
      <w:tr>
        <w:tc>
          <w:tcPr>
            <w:tcW w:type="dxa" w:w="2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Availability and recovery</w:t>
            </w:r>
          </w:p>
        </w:tc>
        <w:tc>
          <w:tcPr>
            <w:tcW w:type="dxa" w:w="72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Daily encrypted database backups; point-in-time recovery if service tier supports it; object-storage versioning/lifecycle; documented restore test at least quarterly.</w:t>
            </w:r>
          </w:p>
        </w:tc>
      </w:tr>
      <w:tr>
        <w:tc>
          <w:tcPr>
            <w:tcW w:type="dxa" w:w="2100"/>
            <w:tcMar>
              <w:top w:w="80" w:type="dxa"/>
              <w:start w:w="120" w:type="dxa"/>
              <w:bottom w:w="80" w:type="dxa"/>
              <w:end w:w="120" w:type="dxa"/>
            </w:tcMar>
            <w:vAlign w:val="center"/>
          </w:tcPr>
          <w:p>
            <w:pPr>
              <w:spacing w:before="0" w:after="0" w:line="259" w:lineRule="auto"/>
            </w:pPr>
            <w:r/>
            <w:r>
              <w:rPr>
                <w:rFonts w:ascii="Calibri" w:hAnsi="Calibri"/>
                <w:b w:val="0"/>
                <w:color w:val="000000"/>
                <w:sz w:val="18"/>
              </w:rPr>
              <w:t>Observability</w:t>
            </w:r>
          </w:p>
        </w:tc>
        <w:tc>
          <w:tcPr>
            <w:tcW w:type="dxa" w:w="7260"/>
            <w:tcMar>
              <w:top w:w="80" w:type="dxa"/>
              <w:start w:w="120" w:type="dxa"/>
              <w:bottom w:w="80" w:type="dxa"/>
              <w:end w:w="120" w:type="dxa"/>
            </w:tcMar>
            <w:vAlign w:val="center"/>
          </w:tcPr>
          <w:p>
            <w:pPr>
              <w:spacing w:before="0" w:after="0" w:line="259" w:lineRule="auto"/>
            </w:pPr>
            <w:r/>
            <w:r>
              <w:rPr>
                <w:rFonts w:ascii="Calibri" w:hAnsi="Calibri"/>
                <w:b w:val="0"/>
                <w:color w:val="000000"/>
                <w:sz w:val="18"/>
              </w:rPr>
              <w:t>Structured logs with correlation ID, health endpoints, error alerting, metrics for transaction failures, stock conflicts, background jobs and notification delivery.</w:t>
            </w:r>
          </w:p>
        </w:tc>
      </w:tr>
      <w:tr>
        <w:tc>
          <w:tcPr>
            <w:tcW w:type="dxa" w:w="2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Data retention</w:t>
            </w:r>
          </w:p>
        </w:tc>
        <w:tc>
          <w:tcPr>
            <w:tcW w:type="dxa" w:w="72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Retain audit, finance and inventory history indefinitely unless a legal retention policy supersedes it. Soft-disable operational records instead of deleting them.</w:t>
            </w:r>
          </w:p>
        </w:tc>
      </w:tr>
      <w:tr>
        <w:tc>
          <w:tcPr>
            <w:tcW w:type="dxa" w:w="2100"/>
            <w:tcMar>
              <w:top w:w="80" w:type="dxa"/>
              <w:start w:w="120" w:type="dxa"/>
              <w:bottom w:w="80" w:type="dxa"/>
              <w:end w:w="120" w:type="dxa"/>
            </w:tcMar>
            <w:vAlign w:val="center"/>
          </w:tcPr>
          <w:p>
            <w:pPr>
              <w:spacing w:before="0" w:after="0" w:line="259" w:lineRule="auto"/>
            </w:pPr>
            <w:r/>
            <w:r>
              <w:rPr>
                <w:rFonts w:ascii="Calibri" w:hAnsi="Calibri"/>
                <w:b w:val="0"/>
                <w:color w:val="000000"/>
                <w:sz w:val="18"/>
              </w:rPr>
              <w:t>Accessibility</w:t>
            </w:r>
          </w:p>
        </w:tc>
        <w:tc>
          <w:tcPr>
            <w:tcW w:type="dxa" w:w="7260"/>
            <w:tcMar>
              <w:top w:w="80" w:type="dxa"/>
              <w:start w:w="120" w:type="dxa"/>
              <w:bottom w:w="80" w:type="dxa"/>
              <w:end w:w="120" w:type="dxa"/>
            </w:tcMar>
            <w:vAlign w:val="center"/>
          </w:tcPr>
          <w:p>
            <w:pPr>
              <w:spacing w:before="0" w:after="0" w:line="259" w:lineRule="auto"/>
            </w:pPr>
            <w:r/>
            <w:r>
              <w:rPr>
                <w:rFonts w:ascii="Calibri" w:hAnsi="Calibri"/>
                <w:b w:val="0"/>
                <w:color w:val="000000"/>
                <w:sz w:val="18"/>
              </w:rPr>
              <w:t>Internal and portal web UIs target WCAG 2.1 AA for forms, keyboard navigation, focus states, color contrast, error messages and responsive layouts.</w:t>
            </w:r>
          </w:p>
        </w:tc>
      </w:tr>
    </w:tbl>
    <w:p>
      <w:pPr>
        <w:spacing w:before="0" w:after="80"/>
      </w:pPr>
    </w:p>
    <w:p>
      <w:pPr>
        <w:pStyle w:val="Heading1"/>
      </w:pPr>
      <w:r>
        <w:rPr>
          <w:rFonts w:ascii="Calibri" w:hAnsi="Calibri"/>
          <w:b/>
          <w:color w:val="2E74B5"/>
          <w:sz w:val="32"/>
        </w:rPr>
        <w:t>12. Test Scenarios and Acceptance Criteria</w:t>
      </w:r>
    </w:p>
    <w:p>
      <w:pPr>
        <w:spacing w:before="0" w:after="120" w:line="264" w:lineRule="auto"/>
      </w:pPr>
      <w:r>
        <w:rPr>
          <w:rFonts w:ascii="Calibri" w:hAnsi="Calibri"/>
          <w:b w:val="0"/>
          <w:i w:val="0"/>
          <w:color w:val="000000"/>
          <w:sz w:val="22"/>
        </w:rPr>
        <w:t>The following scenarios are minimum acceptance tests. They are suitable for unit tests, integration tests, and end-to-end workflow coverage. All transactional scenarios must assert resulting balances, movement history, ledger rows, and audit events - not only the screen outcome.</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900"/>
        <w:gridCol w:w="3950"/>
        <w:gridCol w:w="4510"/>
      </w:tblGrid>
      <w:tr>
        <w:trPr>
          <w:tblHeader w:val="true"/>
        </w:trPr>
        <w:tc>
          <w:tcPr>
            <w:tcW w:type="dxa" w:w="9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ID</w:t>
            </w:r>
          </w:p>
        </w:tc>
        <w:tc>
          <w:tcPr>
            <w:tcW w:type="dxa" w:w="39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Scenario</w:t>
            </w:r>
          </w:p>
        </w:tc>
        <w:tc>
          <w:tcPr>
            <w:tcW w:type="dxa" w:w="451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Expected result</w:t>
            </w:r>
          </w:p>
        </w:tc>
      </w:tr>
      <w:tr>
        <w:tc>
          <w:tcPr>
            <w:tcW w:type="dxa" w:w="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AT-01</w:t>
            </w:r>
          </w:p>
        </w:tc>
        <w:tc>
          <w:tcPr>
            <w:tcW w:type="dxa" w:w="3950"/>
            <w:tcMar>
              <w:top w:w="80" w:type="dxa"/>
              <w:start w:w="120" w:type="dxa"/>
              <w:bottom w:w="80" w:type="dxa"/>
              <w:end w:w="120" w:type="dxa"/>
            </w:tcMar>
            <w:vAlign w:val="center"/>
          </w:tcPr>
          <w:p>
            <w:pPr>
              <w:spacing w:before="0" w:after="0" w:line="259" w:lineRule="auto"/>
            </w:pPr>
            <w:r/>
            <w:r>
              <w:rPr>
                <w:rFonts w:ascii="Calibri" w:hAnsi="Calibri"/>
                <w:b w:val="0"/>
                <w:color w:val="000000"/>
                <w:sz w:val="17"/>
              </w:rPr>
              <w:t>Create China-origin cycle with three partner contributions and two supplier orders.</w:t>
            </w:r>
          </w:p>
        </w:tc>
        <w:tc>
          <w:tcPr>
            <w:tcW w:type="dxa" w:w="4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Cycle is Planning/Funding as selected; each order belongs to same cycle; contribution records and audit events exist.</w:t>
            </w:r>
          </w:p>
        </w:tc>
      </w:tr>
      <w:tr>
        <w:tc>
          <w:tcPr>
            <w:tcW w:type="dxa" w:w="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AT-02</w:t>
            </w:r>
          </w:p>
        </w:tc>
        <w:tc>
          <w:tcPr>
            <w:tcW w:type="dxa" w:w="39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Create UAE-direct cycle and add shipping leg.</w:t>
            </w:r>
          </w:p>
        </w:tc>
        <w:tc>
          <w:tcPr>
            <w:tcW w:type="dxa" w:w="4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Only UAE-to-Egypt route is accepted; China-to-UAE leg cannot be added for UAE_DIRECT origin.</w:t>
            </w:r>
          </w:p>
        </w:tc>
      </w:tr>
      <w:tr>
        <w:tc>
          <w:tcPr>
            <w:tcW w:type="dxa" w:w="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AT-03</w:t>
            </w:r>
          </w:p>
        </w:tc>
        <w:tc>
          <w:tcPr>
            <w:tcW w:type="dxa" w:w="3950"/>
            <w:tcMar>
              <w:top w:w="80" w:type="dxa"/>
              <w:start w:w="120" w:type="dxa"/>
              <w:bottom w:w="80" w:type="dxa"/>
              <w:end w:w="120" w:type="dxa"/>
            </w:tcMar>
            <w:vAlign w:val="center"/>
          </w:tcPr>
          <w:p>
            <w:pPr>
              <w:spacing w:before="0" w:after="0" w:line="259" w:lineRule="auto"/>
            </w:pPr>
            <w:r/>
            <w:r>
              <w:rPr>
                <w:rFonts w:ascii="Calibri" w:hAnsi="Calibri"/>
                <w:b w:val="0"/>
                <w:color w:val="000000"/>
                <w:sz w:val="17"/>
              </w:rPr>
              <w:t>Arrive a cycle in Egypt and verify 100 units of a product.</w:t>
            </w:r>
          </w:p>
        </w:tc>
        <w:tc>
          <w:tcPr>
            <w:tcW w:type="dxa" w:w="4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A cycle-specific inventory batch is created, status is saleable, RECEIVE movement exists, and available stock increases.</w:t>
            </w:r>
          </w:p>
        </w:tc>
      </w:tr>
      <w:tr>
        <w:tc>
          <w:tcPr>
            <w:tcW w:type="dxa" w:w="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AT-04</w:t>
            </w:r>
          </w:p>
        </w:tc>
        <w:tc>
          <w:tcPr>
            <w:tcW w:type="dxa" w:w="39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Verify identical product from three cycles with different landed costs.</w:t>
            </w:r>
          </w:p>
        </w:tc>
        <w:tc>
          <w:tcPr>
            <w:tcW w:type="dxa" w:w="4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Inventory view shows separate batches, correct individual remaining quantities and costs, plus aggregate product totals.</w:t>
            </w:r>
          </w:p>
        </w:tc>
      </w:tr>
      <w:tr>
        <w:tc>
          <w:tcPr>
            <w:tcW w:type="dxa" w:w="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AT-05</w:t>
            </w:r>
          </w:p>
        </w:tc>
        <w:tc>
          <w:tcPr>
            <w:tcW w:type="dxa" w:w="3950"/>
            <w:tcMar>
              <w:top w:w="80" w:type="dxa"/>
              <w:start w:w="120" w:type="dxa"/>
              <w:bottom w:w="80" w:type="dxa"/>
              <w:end w:w="120" w:type="dxa"/>
            </w:tcMar>
            <w:vAlign w:val="center"/>
          </w:tcPr>
          <w:p>
            <w:pPr>
              <w:spacing w:before="0" w:after="0" w:line="259" w:lineRule="auto"/>
            </w:pPr>
            <w:r/>
            <w:r>
              <w:rPr>
                <w:rFonts w:ascii="Calibri" w:hAnsi="Calibri"/>
                <w:b w:val="0"/>
                <w:color w:val="000000"/>
                <w:sz w:val="17"/>
              </w:rPr>
              <w:t>Confirm sale that needs 20 units from oldest batch and 30 from next batch.</w:t>
            </w:r>
          </w:p>
        </w:tc>
        <w:tc>
          <w:tcPr>
            <w:tcW w:type="dxa" w:w="4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Server allocates FIFO under lock; creates two allocation rows, SALE movements, COGS sum and audit event.</w:t>
            </w:r>
          </w:p>
        </w:tc>
      </w:tr>
      <w:tr>
        <w:tc>
          <w:tcPr>
            <w:tcW w:type="dxa" w:w="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AT-06</w:t>
            </w:r>
          </w:p>
        </w:tc>
        <w:tc>
          <w:tcPr>
            <w:tcW w:type="dxa" w:w="39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Two users try to sell the last available quantity at the same time.</w:t>
            </w:r>
          </w:p>
        </w:tc>
        <w:tc>
          <w:tcPr>
            <w:tcW w:type="dxa" w:w="4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At most one confirmation succeeds. Other request receives inventory conflict/insufficient-stock response with no partial allocation.</w:t>
            </w:r>
          </w:p>
        </w:tc>
      </w:tr>
      <w:tr>
        <w:tc>
          <w:tcPr>
            <w:tcW w:type="dxa" w:w="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AT-07</w:t>
            </w:r>
          </w:p>
        </w:tc>
        <w:tc>
          <w:tcPr>
            <w:tcW w:type="dxa" w:w="3950"/>
            <w:tcMar>
              <w:top w:w="80" w:type="dxa"/>
              <w:start w:w="120" w:type="dxa"/>
              <w:bottom w:w="80" w:type="dxa"/>
              <w:end w:w="120" w:type="dxa"/>
            </w:tcMar>
            <w:vAlign w:val="center"/>
          </w:tcPr>
          <w:p>
            <w:pPr>
              <w:spacing w:before="0" w:after="0" w:line="259" w:lineRule="auto"/>
            </w:pPr>
            <w:r/>
            <w:r>
              <w:rPr>
                <w:rFonts w:ascii="Calibri" w:hAnsi="Calibri"/>
                <w:b w:val="0"/>
                <w:color w:val="000000"/>
                <w:sz w:val="17"/>
              </w:rPr>
              <w:t>Record a partial payment then allocate it to an order.</w:t>
            </w:r>
          </w:p>
        </w:tc>
        <w:tc>
          <w:tcPr>
            <w:tcW w:type="dxa" w:w="4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Order status becomes Partially Paid; outstanding balance equals total less active allocations; cash-flow ledger record exists.</w:t>
            </w:r>
          </w:p>
        </w:tc>
      </w:tr>
      <w:tr>
        <w:tc>
          <w:tcPr>
            <w:tcW w:type="dxa" w:w="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AT-08</w:t>
            </w:r>
          </w:p>
        </w:tc>
        <w:tc>
          <w:tcPr>
            <w:tcW w:type="dxa" w:w="39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Reverse a customer payment or expense.</w:t>
            </w:r>
          </w:p>
        </w:tc>
        <w:tc>
          <w:tcPr>
            <w:tcW w:type="dxa" w:w="4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Original record remains visible; linked offsetting record exists; balances/reports reflect the reversal; audit contains reason.</w:t>
            </w:r>
          </w:p>
        </w:tc>
      </w:tr>
      <w:tr>
        <w:tc>
          <w:tcPr>
            <w:tcW w:type="dxa" w:w="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AT-09</w:t>
            </w:r>
          </w:p>
        </w:tc>
        <w:tc>
          <w:tcPr>
            <w:tcW w:type="dxa" w:w="3950"/>
            <w:tcMar>
              <w:top w:w="80" w:type="dxa"/>
              <w:start w:w="120" w:type="dxa"/>
              <w:bottom w:w="80" w:type="dxa"/>
              <w:end w:w="120" w:type="dxa"/>
            </w:tcMar>
            <w:vAlign w:val="center"/>
          </w:tcPr>
          <w:p>
            <w:pPr>
              <w:spacing w:before="0" w:after="0" w:line="259" w:lineRule="auto"/>
            </w:pPr>
            <w:r/>
            <w:r>
              <w:rPr>
                <w:rFonts w:ascii="Calibri" w:hAnsi="Calibri"/>
                <w:b w:val="0"/>
                <w:color w:val="000000"/>
                <w:sz w:val="17"/>
              </w:rPr>
              <w:t>Calculate default partner profit shares for contributions 80k/100k/120k.</w:t>
            </w:r>
          </w:p>
        </w:tc>
        <w:tc>
          <w:tcPr>
            <w:tcW w:type="dxa" w:w="4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Shares are 26.6667%, 33.3333%, and 40.0000% subject to defined rounding reconciliation; sum equals 100%.</w:t>
            </w:r>
          </w:p>
        </w:tc>
      </w:tr>
      <w:tr>
        <w:tc>
          <w:tcPr>
            <w:tcW w:type="dxa" w:w="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AT-10</w:t>
            </w:r>
          </w:p>
        </w:tc>
        <w:tc>
          <w:tcPr>
            <w:tcW w:type="dxa" w:w="39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Apply 15% fee to temporary investor allocated gross profit of 50k.</w:t>
            </w:r>
          </w:p>
        </w:tc>
        <w:tc>
          <w:tcPr>
            <w:tcW w:type="dxa" w:w="4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Fee = 7.5k; investor net profit = 42.5k; capital return is unaffected; recipient split remains blocked until configured.</w:t>
            </w:r>
          </w:p>
        </w:tc>
      </w:tr>
      <w:tr>
        <w:tc>
          <w:tcPr>
            <w:tcW w:type="dxa" w:w="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AT-11</w:t>
            </w:r>
          </w:p>
        </w:tc>
        <w:tc>
          <w:tcPr>
            <w:tcW w:type="dxa" w:w="3950"/>
            <w:tcMar>
              <w:top w:w="80" w:type="dxa"/>
              <w:start w:w="120" w:type="dxa"/>
              <w:bottom w:w="80" w:type="dxa"/>
              <w:end w:w="120" w:type="dxa"/>
            </w:tcMar>
            <w:vAlign w:val="center"/>
          </w:tcPr>
          <w:p>
            <w:pPr>
              <w:spacing w:before="0" w:after="0" w:line="259" w:lineRule="auto"/>
            </w:pPr>
            <w:r/>
            <w:r>
              <w:rPr>
                <w:rFonts w:ascii="Calibri" w:hAnsi="Calibri"/>
                <w:b w:val="0"/>
                <w:color w:val="000000"/>
                <w:sz w:val="17"/>
              </w:rPr>
              <w:t>Attempt to close a cycle with remaining stock and no closing treatment.</w:t>
            </w:r>
          </w:p>
        </w:tc>
        <w:tc>
          <w:tcPr>
            <w:tcW w:type="dxa" w:w="4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System rejects closure with 422 DECISION_GATE_REQUIRED and identifies DG-004.</w:t>
            </w:r>
          </w:p>
        </w:tc>
      </w:tr>
      <w:tr>
        <w:tc>
          <w:tcPr>
            <w:tcW w:type="dxa" w:w="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AT-12</w:t>
            </w:r>
          </w:p>
        </w:tc>
        <w:tc>
          <w:tcPr>
            <w:tcW w:type="dxa" w:w="3950"/>
            <w:shd w:fill="FAFBFC"/>
            <w:tcMar>
              <w:top w:w="80" w:type="dxa"/>
              <w:start w:w="120" w:type="dxa"/>
              <w:bottom w:w="80" w:type="dxa"/>
              <w:end w:w="120" w:type="dxa"/>
            </w:tcMar>
            <w:vAlign w:val="center"/>
          </w:tcPr>
          <w:p>
            <w:pPr>
              <w:spacing w:before="0" w:after="0" w:line="259" w:lineRule="auto"/>
            </w:pPr>
            <w:r>
              <w:t>Shop-owner portal user calls an internal purchase or supplier endpoint.</w:t>
            </w:r>
            <w:r>
              <w:rPr>
                <w:rFonts w:ascii="Calibri" w:hAnsi="Calibri"/>
                <w:b w:val="0"/>
                <w:color w:val="000000"/>
                <w:sz w:val="17"/>
              </w:rPr>
            </w:r>
          </w:p>
        </w:tc>
        <w:tc>
          <w:tcPr>
            <w:tcW w:type="dxa" w:w="4510"/>
            <w:shd w:fill="FAFBFC"/>
            <w:tcMar>
              <w:top w:w="80" w:type="dxa"/>
              <w:start w:w="120" w:type="dxa"/>
              <w:bottom w:w="80" w:type="dxa"/>
              <w:end w:w="120" w:type="dxa"/>
            </w:tcMar>
            <w:vAlign w:val="center"/>
          </w:tcPr>
          <w:p>
            <w:pPr>
              <w:spacing w:before="0" w:after="0" w:line="259" w:lineRule="auto"/>
            </w:pPr>
            <w:r>
              <w:t>API returns 403; the internal application is inaccessible and no supplier/cost/partner data is included in payload or logs.</w:t>
            </w:r>
            <w:r>
              <w:rPr>
                <w:rFonts w:ascii="Calibri" w:hAnsi="Calibri"/>
                <w:b w:val="0"/>
                <w:color w:val="000000"/>
                <w:sz w:val="17"/>
              </w:rPr>
            </w:r>
          </w:p>
        </w:tc>
      </w:tr>
      <w:tr>
        <w:tc>
          <w:tcPr>
            <w:tcW w:type="dxa" w:w="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AT-13</w:t>
            </w:r>
          </w:p>
        </w:tc>
        <w:tc>
          <w:tcPr>
            <w:tcW w:type="dxa" w:w="3950"/>
            <w:tcMar>
              <w:top w:w="80" w:type="dxa"/>
              <w:start w:w="120" w:type="dxa"/>
              <w:bottom w:w="80" w:type="dxa"/>
              <w:end w:w="120" w:type="dxa"/>
            </w:tcMar>
            <w:vAlign w:val="center"/>
          </w:tcPr>
          <w:p>
            <w:pPr>
              <w:spacing w:before="0" w:after="0" w:line="259" w:lineRule="auto"/>
            </w:pPr>
            <w:r/>
            <w:r>
              <w:rPr>
                <w:rFonts w:ascii="Calibri" w:hAnsi="Calibri"/>
                <w:b w:val="0"/>
                <w:color w:val="000000"/>
                <w:sz w:val="17"/>
              </w:rPr>
              <w:t>Verified shop submits an out-of-stock request.</w:t>
            </w:r>
          </w:p>
        </w:tc>
        <w:tc>
          <w:tcPr>
            <w:tcW w:type="dxa" w:w="4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Request links to authenticated customer, captures allowed fields, notifies partners, and appears in demand view.</w:t>
            </w:r>
          </w:p>
        </w:tc>
      </w:tr>
      <w:tr>
        <w:tc>
          <w:tcPr>
            <w:tcW w:type="dxa" w:w="9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AT-14</w:t>
            </w:r>
          </w:p>
        </w:tc>
        <w:tc>
          <w:tcPr>
            <w:tcW w:type="dxa" w:w="39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Edit B2B price and then inspect older sale.</w:t>
            </w:r>
          </w:p>
        </w:tc>
        <w:tc>
          <w:tcPr>
            <w:tcW w:type="dxa" w:w="45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7"/>
              </w:rPr>
              <w:t>Price history contains new effective record; older sale retains prior applied unit price and recalculated reports do not mutate history.</w:t>
            </w:r>
          </w:p>
        </w:tc>
      </w:tr>
      <w:tr>
        <w:tc>
          <w:tcPr>
            <w:tcW w:type="dxa" w:w="900"/>
            <w:tcMar>
              <w:top w:w="80" w:type="dxa"/>
              <w:start w:w="120" w:type="dxa"/>
              <w:bottom w:w="80" w:type="dxa"/>
              <w:end w:w="120" w:type="dxa"/>
            </w:tcMar>
            <w:vAlign w:val="center"/>
          </w:tcPr>
          <w:p>
            <w:pPr>
              <w:spacing w:before="0" w:after="0" w:line="259" w:lineRule="auto"/>
            </w:pPr>
            <w:r/>
            <w:r>
              <w:rPr>
                <w:rFonts w:ascii="Calibri" w:hAnsi="Calibri"/>
                <w:b w:val="0"/>
                <w:color w:val="000000"/>
                <w:sz w:val="17"/>
              </w:rPr>
              <w:t>AT-15</w:t>
            </w:r>
          </w:p>
        </w:tc>
        <w:tc>
          <w:tcPr>
            <w:tcW w:type="dxa" w:w="3950"/>
            <w:tcMar>
              <w:top w:w="80" w:type="dxa"/>
              <w:start w:w="120" w:type="dxa"/>
              <w:bottom w:w="80" w:type="dxa"/>
              <w:end w:w="120" w:type="dxa"/>
            </w:tcMar>
            <w:vAlign w:val="center"/>
          </w:tcPr>
          <w:p>
            <w:pPr>
              <w:spacing w:before="0" w:after="0" w:line="259" w:lineRule="auto"/>
            </w:pPr>
            <w:r/>
            <w:r>
              <w:rPr>
                <w:rFonts w:ascii="Calibri" w:hAnsi="Calibri"/>
                <w:b w:val="0"/>
                <w:color w:val="000000"/>
                <w:sz w:val="17"/>
              </w:rPr>
              <w:t>Run dashboard for a selected date range.</w:t>
            </w:r>
          </w:p>
        </w:tc>
        <w:tc>
          <w:tcPr>
            <w:tcW w:type="dxa" w:w="4510"/>
            <w:tcMar>
              <w:top w:w="80" w:type="dxa"/>
              <w:start w:w="120" w:type="dxa"/>
              <w:bottom w:w="80" w:type="dxa"/>
              <w:end w:w="120" w:type="dxa"/>
            </w:tcMar>
            <w:vAlign w:val="center"/>
          </w:tcPr>
          <w:p>
            <w:pPr>
              <w:spacing w:before="0" w:after="0" w:line="259" w:lineRule="auto"/>
            </w:pPr>
            <w:r/>
            <w:r>
              <w:rPr>
                <w:rFonts w:ascii="Calibri" w:hAnsi="Calibri"/>
                <w:b w:val="0"/>
                <w:color w:val="000000"/>
                <w:sz w:val="17"/>
              </w:rPr>
              <w:t>Revenue, COGS, gross profit, inventory value, receivables, expenses and cash flow match source transaction queries and filters.</w:t>
            </w:r>
          </w:p>
        </w:tc>
      </w:tr>
    </w:tbl>
    <w:p>
      <w:pPr>
        <w:spacing w:before="0" w:after="80"/>
      </w:pPr>
    </w:p>
    <w:p>
      <w:pPr>
        <w:pStyle w:val="Heading1"/>
      </w:pPr>
      <w:r>
        <w:rPr>
          <w:rFonts w:ascii="Calibri" w:hAnsi="Calibri"/>
          <w:b/>
          <w:color w:val="2E74B5"/>
          <w:sz w:val="32"/>
        </w:rPr>
        <w:t>13. Delivery Plan and Release Gates</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600"/>
        <w:gridCol w:w="4100"/>
        <w:gridCol w:w="3660"/>
      </w:tblGrid>
      <w:tr>
        <w:trPr>
          <w:tblHeader w:val="true"/>
        </w:trPr>
        <w:tc>
          <w:tcPr>
            <w:tcW w:type="dxa" w:w="16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Release increment</w:t>
            </w:r>
          </w:p>
        </w:tc>
        <w:tc>
          <w:tcPr>
            <w:tcW w:type="dxa" w:w="4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Included capability</w:t>
            </w:r>
          </w:p>
        </w:tc>
        <w:tc>
          <w:tcPr>
            <w:tcW w:type="dxa" w:w="36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Gate to release</w:t>
            </w:r>
          </w:p>
        </w:tc>
      </w:tr>
      <w:tr>
        <w:tc>
          <w:tcPr>
            <w:tcW w:type="dxa" w:w="1600"/>
            <w:tcMar>
              <w:top w:w="80" w:type="dxa"/>
              <w:start w:w="120" w:type="dxa"/>
              <w:bottom w:w="80" w:type="dxa"/>
              <w:end w:w="120" w:type="dxa"/>
            </w:tcMar>
            <w:vAlign w:val="center"/>
          </w:tcPr>
          <w:p>
            <w:pPr>
              <w:spacing w:before="0" w:after="0" w:line="259" w:lineRule="auto"/>
            </w:pPr>
            <w:r/>
            <w:r>
              <w:rPr>
                <w:rFonts w:ascii="Calibri" w:hAnsi="Calibri"/>
                <w:b w:val="0"/>
                <w:color w:val="000000"/>
                <w:sz w:val="18"/>
              </w:rPr>
              <w:t>R1 - Foundation</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8"/>
              </w:rPr>
              <w:t>Auth/RBAC, users/partners, products/suppliers, audit backbone, file storage, core configuration.</w:t>
            </w:r>
          </w:p>
        </w:tc>
        <w:tc>
          <w:tcPr>
            <w:tcW w:type="dxa" w:w="3660"/>
            <w:tcMar>
              <w:top w:w="80" w:type="dxa"/>
              <w:start w:w="120" w:type="dxa"/>
              <w:bottom w:w="80" w:type="dxa"/>
              <w:end w:w="120" w:type="dxa"/>
            </w:tcMar>
            <w:vAlign w:val="center"/>
          </w:tcPr>
          <w:p>
            <w:pPr>
              <w:spacing w:before="0" w:after="0" w:line="259" w:lineRule="auto"/>
            </w:pPr>
            <w:r/>
            <w:r>
              <w:rPr>
                <w:rFonts w:ascii="Calibri" w:hAnsi="Calibri"/>
                <w:b w:val="0"/>
                <w:color w:val="000000"/>
                <w:sz w:val="18"/>
              </w:rPr>
              <w:t>Security review, role-visibility tests, schema migration/recovery test.</w:t>
            </w:r>
          </w:p>
        </w:tc>
      </w:tr>
      <w:tr>
        <w:tc>
          <w:tcPr>
            <w:tcW w:type="dxa" w:w="16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R2 - Import operations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Cycles, participants, purchases, logistics, receiving, verified inventory batches and movements.</w:t>
            </w:r>
          </w:p>
        </w:tc>
        <w:tc>
          <w:tcPr>
            <w:tcW w:type="dxa" w:w="36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AT-01 to AT-04 pass; landed-cost allocation basis approved.</w:t>
            </w:r>
          </w:p>
        </w:tc>
      </w:tr>
      <w:tr>
        <w:tc>
          <w:tcPr>
            <w:tcW w:type="dxa" w:w="1600"/>
            <w:tcMar>
              <w:top w:w="80" w:type="dxa"/>
              <w:start w:w="120" w:type="dxa"/>
              <w:bottom w:w="80" w:type="dxa"/>
              <w:end w:w="120" w:type="dxa"/>
            </w:tcMar>
            <w:vAlign w:val="center"/>
          </w:tcPr>
          <w:p>
            <w:pPr>
              <w:spacing w:before="0" w:after="0" w:line="259" w:lineRule="auto"/>
            </w:pPr>
            <w:r/>
            <w:r>
              <w:rPr>
                <w:rFonts w:ascii="Calibri" w:hAnsi="Calibri"/>
                <w:b w:val="0"/>
                <w:color w:val="000000"/>
                <w:sz w:val="18"/>
              </w:rPr>
              <w:t>R3 - Sales and receivables</w:t>
            </w:r>
          </w:p>
        </w:tc>
        <w:tc>
          <w:tcPr>
            <w:tcW w:type="dxa" w:w="4100"/>
            <w:tcMar>
              <w:top w:w="80" w:type="dxa"/>
              <w:start w:w="120" w:type="dxa"/>
              <w:bottom w:w="80" w:type="dxa"/>
              <w:end w:w="120" w:type="dxa"/>
            </w:tcMar>
            <w:vAlign w:val="center"/>
          </w:tcPr>
          <w:p>
            <w:pPr>
              <w:spacing w:before="0" w:after="0" w:line="259" w:lineRule="auto"/>
            </w:pPr>
            <w:r/>
            <w:r>
              <w:rPr>
                <w:rFonts w:ascii="Calibri" w:hAnsi="Calibri"/>
                <w:b w:val="0"/>
                <w:color w:val="000000"/>
                <w:sz w:val="18"/>
              </w:rPr>
              <w:t>B2B/B2C orders, FIFO allocation, reservations, payments, balances and basic returns workflow.</w:t>
            </w:r>
          </w:p>
        </w:tc>
        <w:tc>
          <w:tcPr>
            <w:tcW w:type="dxa" w:w="3660"/>
            <w:tcMar>
              <w:top w:w="80" w:type="dxa"/>
              <w:start w:w="120" w:type="dxa"/>
              <w:bottom w:w="80" w:type="dxa"/>
              <w:end w:w="120" w:type="dxa"/>
            </w:tcMar>
            <w:vAlign w:val="center"/>
          </w:tcPr>
          <w:p>
            <w:pPr>
              <w:spacing w:before="0" w:after="0" w:line="259" w:lineRule="auto"/>
            </w:pPr>
            <w:r/>
            <w:r>
              <w:rPr>
                <w:rFonts w:ascii="Calibri" w:hAnsi="Calibri"/>
                <w:b w:val="0"/>
                <w:color w:val="000000"/>
                <w:sz w:val="18"/>
              </w:rPr>
              <w:t>AT-05 to AT-08 pass; DG-002 and DG-003 policy configuration confirmed.</w:t>
            </w:r>
          </w:p>
        </w:tc>
      </w:tr>
      <w:tr>
        <w:tc>
          <w:tcPr>
            <w:tcW w:type="dxa" w:w="16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R4 - Finance and analytics</w:t>
            </w:r>
          </w:p>
        </w:tc>
        <w:tc>
          <w:tcPr>
            <w:tcW w:type="dxa" w:w="410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Ledger, contribution tracking, settlement previews, participant calculations, dashboard and reports.</w:t>
            </w:r>
          </w:p>
        </w:tc>
        <w:tc>
          <w:tcPr>
            <w:tcW w:type="dxa" w:w="366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AT-09 to AT-11 and AT-15 pass; settlement/remaining-stock policy and investor-fee recipient split approved.</w:t>
            </w:r>
          </w:p>
        </w:tc>
      </w:tr>
      <w:tr>
        <w:tc>
          <w:tcPr>
            <w:tcW w:type="dxa" w:w="1600"/>
            <w:tcMar>
              <w:top w:w="80" w:type="dxa"/>
              <w:start w:w="120" w:type="dxa"/>
              <w:bottom w:w="80" w:type="dxa"/>
              <w:end w:w="120" w:type="dxa"/>
            </w:tcMar>
            <w:vAlign w:val="center"/>
          </w:tcPr>
          <w:p>
            <w:pPr>
              <w:spacing w:before="0" w:after="0" w:line="259" w:lineRule="auto"/>
            </w:pPr>
            <w:r/>
            <w:r>
              <w:rPr>
                <w:rFonts w:ascii="Calibri" w:hAnsi="Calibri"/>
                <w:b w:val="0"/>
                <w:color w:val="000000"/>
                <w:sz w:val="18"/>
              </w:rPr>
              <w:t>R5 - Customer portal</w:t>
            </w:r>
          </w:p>
        </w:tc>
        <w:tc>
          <w:tcPr>
            <w:tcW w:type="dxa" w:w="4100"/>
            <w:tcMar>
              <w:top w:w="80" w:type="dxa"/>
              <w:start w:w="120" w:type="dxa"/>
              <w:bottom w:w="80" w:type="dxa"/>
              <w:end w:w="120" w:type="dxa"/>
            </w:tcMar>
            <w:vAlign w:val="center"/>
          </w:tcPr>
          <w:p>
            <w:pPr>
              <w:spacing w:before="0" w:after="0" w:line="259" w:lineRule="auto"/>
            </w:pPr>
            <w:r>
              <w:t>Separate customer portal for catalog, orders, requests, history and notifications; no internal-system access for shop owners.</w:t>
            </w:r>
            <w:r>
              <w:rPr>
                <w:rFonts w:ascii="Calibri" w:hAnsi="Calibri"/>
                <w:b w:val="0"/>
                <w:color w:val="000000"/>
                <w:sz w:val="18"/>
              </w:rPr>
            </w:r>
          </w:p>
        </w:tc>
        <w:tc>
          <w:tcPr>
            <w:tcW w:type="dxa" w:w="3660"/>
            <w:tcMar>
              <w:top w:w="80" w:type="dxa"/>
              <w:start w:w="120" w:type="dxa"/>
              <w:bottom w:w="80" w:type="dxa"/>
              <w:end w:w="120" w:type="dxa"/>
            </w:tcMar>
            <w:vAlign w:val="center"/>
          </w:tcPr>
          <w:p>
            <w:pPr>
              <w:spacing w:before="0" w:after="0" w:line="259" w:lineRule="auto"/>
            </w:pPr>
            <w:r/>
            <w:r>
              <w:rPr>
                <w:rFonts w:ascii="Calibri" w:hAnsi="Calibri"/>
                <w:b w:val="0"/>
                <w:color w:val="000000"/>
                <w:sz w:val="18"/>
              </w:rPr>
              <w:t>AT-12 to AT-14 pass; customer data/privacy review and portal onboarding process approved.</w:t>
            </w:r>
          </w:p>
        </w:tc>
      </w:tr>
    </w:tbl>
    <w:p>
      <w:pPr>
        <w:spacing w:before="0" w:after="80"/>
      </w:pPr>
    </w:p>
    <w:p>
      <w:pPr>
        <w:pStyle w:val="Heading1"/>
      </w:pPr>
      <w:r>
        <w:rPr>
          <w:rFonts w:ascii="Calibri" w:hAnsi="Calibri"/>
          <w:b/>
          <w:color w:val="2E74B5"/>
          <w:sz w:val="32"/>
        </w:rPr>
        <w:t>14. Implementation Checklist</w:t>
      </w:r>
    </w:p>
    <w:p>
      <w:pPr>
        <w:pStyle w:val="ListNumber"/>
        <w:spacing w:before="0" w:after="80" w:line="280" w:lineRule="auto"/>
      </w:pPr>
      <w:r>
        <w:rPr>
          <w:rFonts w:ascii="Calibri" w:hAnsi="Calibri"/>
          <w:color w:val="000000"/>
          <w:sz w:val="21"/>
        </w:rPr>
        <w:t>Confirm the seven decision gates in Section 5.2 and record approved policy versions before enabling dependent production features.</w:t>
      </w:r>
    </w:p>
    <w:p>
      <w:pPr>
        <w:pStyle w:val="ListNumber"/>
        <w:spacing w:before="0" w:after="80" w:line="280" w:lineRule="auto"/>
      </w:pPr>
      <w:r>
        <w:rPr>
          <w:rFonts w:ascii="Calibri" w:hAnsi="Calibri"/>
          <w:color w:val="000000"/>
          <w:sz w:val="21"/>
        </w:rPr>
        <w:t>Create database migrations with foreign keys, unique constraints, check constraints and indexes for the integrity rules in Section 6.</w:t>
      </w:r>
    </w:p>
    <w:p>
      <w:pPr>
        <w:pStyle w:val="ListNumber"/>
        <w:spacing w:before="0" w:after="80" w:line="280" w:lineRule="auto"/>
      </w:pPr>
      <w:r>
        <w:rPr>
          <w:rFonts w:ascii="Calibri" w:hAnsi="Calibri"/>
          <w:color w:val="000000"/>
          <w:sz w:val="21"/>
        </w:rPr>
        <w:t>Implement domain services first for stock allocation, payment allocation, reversal and settlement; expose them only through API controllers after transaction and audit tests pass.</w:t>
      </w:r>
    </w:p>
    <w:p>
      <w:pPr>
        <w:pStyle w:val="ListNumber"/>
        <w:spacing w:before="0" w:after="80" w:line="280" w:lineRule="auto"/>
      </w:pPr>
      <w:r>
        <w:rPr>
          <w:rFonts w:ascii="Calibri" w:hAnsi="Calibri"/>
          <w:color w:val="000000"/>
          <w:sz w:val="21"/>
        </w:rPr>
        <w:t>Build OpenAPI documentation from DTOs and add contract tests for all mutation endpoints, error envelopes, authorization boundaries and idempotency behavior.</w:t>
      </w:r>
    </w:p>
    <w:p>
      <w:pPr>
        <w:pStyle w:val="ListNumber"/>
        <w:spacing w:before="0" w:after="80" w:line="280" w:lineRule="auto"/>
      </w:pPr>
      <w:r>
        <w:rPr>
          <w:rFonts w:ascii="Calibri" w:hAnsi="Calibri"/>
          <w:color w:val="000000"/>
          <w:sz w:val="21"/>
        </w:rPr>
        <w:t>Seed the three core-partner records, default Home Storage Room location, currency configuration, sale channels B2B/B2C and initial notification preferences.</w:t>
      </w:r>
    </w:p>
    <w:p>
      <w:pPr>
        <w:pStyle w:val="ListNumber"/>
        <w:spacing w:before="0" w:after="80" w:line="280" w:lineRule="auto"/>
      </w:pPr>
      <w:r>
        <w:rPr>
          <w:rFonts w:ascii="Calibri" w:hAnsi="Calibri"/>
          <w:color w:val="000000"/>
          <w:sz w:val="21"/>
        </w:rPr>
        <w:t>Run the acceptance suite against a staging PostgreSQL database and validate dashboard outputs against manually reconciled fixture data before launch.</w:t>
      </w:r>
    </w:p>
    <w:p>
      <w:pPr>
        <w:pStyle w:val="Heading1"/>
        <w:pageBreakBefore/>
      </w:pPr>
      <w:r>
        <w:rPr>
          <w:rFonts w:ascii="Calibri" w:hAnsi="Calibri"/>
          <w:b/>
          <w:color w:val="2E74B5"/>
          <w:sz w:val="32"/>
        </w:rPr>
        <w:t>Appendix A - Assumptions and Terms</w:t>
      </w:r>
    </w:p>
    <w:tbl>
      <w:tblPr>
        <w:tblW w:type="dxa" w:w="9360"/>
        <w:tblLayout w:type="fixed"/>
        <w:tblLook w:firstColumn="1" w:firstRow="1" w:lastColumn="0" w:lastRow="0" w:noHBand="0" w:noVBand="1" w:val="04A0"/>
        <w:jc w:val="left"/>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250"/>
        <w:gridCol w:w="7110"/>
      </w:tblGrid>
      <w:tr>
        <w:trPr>
          <w:tblHeader w:val="true"/>
        </w:trPr>
        <w:tc>
          <w:tcPr>
            <w:tcW w:type="dxa" w:w="22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Term</w:t>
            </w:r>
          </w:p>
        </w:tc>
        <w:tc>
          <w:tcPr>
            <w:tcW w:type="dxa" w:w="711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8"/>
              </w:rPr>
              <w:t>Definition</w:t>
            </w:r>
          </w:p>
        </w:tc>
      </w:tr>
      <w:tr>
        <w:tc>
          <w:tcPr>
            <w:tcW w:type="dxa" w:w="2250"/>
            <w:tcMar>
              <w:top w:w="80" w:type="dxa"/>
              <w:start w:w="120" w:type="dxa"/>
              <w:bottom w:w="80" w:type="dxa"/>
              <w:end w:w="120" w:type="dxa"/>
            </w:tcMar>
            <w:vAlign w:val="center"/>
          </w:tcPr>
          <w:p>
            <w:pPr>
              <w:spacing w:before="0" w:after="0" w:line="259" w:lineRule="auto"/>
            </w:pPr>
            <w:r/>
            <w:r>
              <w:rPr>
                <w:rFonts w:ascii="Calibri" w:hAnsi="Calibri"/>
                <w:b w:val="0"/>
                <w:color w:val="000000"/>
                <w:sz w:val="18"/>
              </w:rPr>
              <w:t>Cycle</w:t>
            </w:r>
          </w:p>
        </w:tc>
        <w:tc>
          <w:tcPr>
            <w:tcW w:type="dxa" w:w="7110"/>
            <w:tcMar>
              <w:top w:w="80" w:type="dxa"/>
              <w:start w:w="120" w:type="dxa"/>
              <w:bottom w:w="80" w:type="dxa"/>
              <w:end w:w="120" w:type="dxa"/>
            </w:tcMar>
            <w:vAlign w:val="center"/>
          </w:tcPr>
          <w:p>
            <w:pPr>
              <w:spacing w:before="0" w:after="0" w:line="259" w:lineRule="auto"/>
            </w:pPr>
            <w:r/>
            <w:r>
              <w:rPr>
                <w:rFonts w:ascii="Calibri" w:hAnsi="Calibri"/>
                <w:b w:val="0"/>
                <w:color w:val="000000"/>
                <w:sz w:val="18"/>
              </w:rPr>
              <w:t>One physical import shipment from planning through settlement and closure.</w:t>
            </w:r>
          </w:p>
        </w:tc>
      </w:tr>
      <w:tr>
        <w:tc>
          <w:tcPr>
            <w:tcW w:type="dxa" w:w="22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Batch</w:t>
            </w:r>
          </w:p>
        </w:tc>
        <w:tc>
          <w:tcPr>
            <w:tcW w:type="dxa" w:w="71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 cycle-specific, verified receipt of a product with its own quantity and landed unit cost.</w:t>
            </w:r>
          </w:p>
        </w:tc>
      </w:tr>
      <w:tr>
        <w:tc>
          <w:tcPr>
            <w:tcW w:type="dxa" w:w="2250"/>
            <w:tcMar>
              <w:top w:w="80" w:type="dxa"/>
              <w:start w:w="120" w:type="dxa"/>
              <w:bottom w:w="80" w:type="dxa"/>
              <w:end w:w="120" w:type="dxa"/>
            </w:tcMar>
            <w:vAlign w:val="center"/>
          </w:tcPr>
          <w:p>
            <w:pPr>
              <w:spacing w:before="0" w:after="0" w:line="259" w:lineRule="auto"/>
            </w:pPr>
            <w:r/>
            <w:r>
              <w:rPr>
                <w:rFonts w:ascii="Calibri" w:hAnsi="Calibri"/>
                <w:b w:val="0"/>
                <w:color w:val="000000"/>
                <w:sz w:val="18"/>
              </w:rPr>
              <w:t>Available stock</w:t>
            </w:r>
          </w:p>
        </w:tc>
        <w:tc>
          <w:tcPr>
            <w:tcW w:type="dxa" w:w="7110"/>
            <w:tcMar>
              <w:top w:w="80" w:type="dxa"/>
              <w:start w:w="120" w:type="dxa"/>
              <w:bottom w:w="80" w:type="dxa"/>
              <w:end w:w="120" w:type="dxa"/>
            </w:tcMar>
            <w:vAlign w:val="center"/>
          </w:tcPr>
          <w:p>
            <w:pPr>
              <w:spacing w:before="0" w:after="0" w:line="259" w:lineRule="auto"/>
            </w:pPr>
            <w:r/>
            <w:r>
              <w:rPr>
                <w:rFonts w:ascii="Calibri" w:hAnsi="Calibri"/>
                <w:b w:val="0"/>
                <w:color w:val="000000"/>
                <w:sz w:val="18"/>
              </w:rPr>
              <w:t>Verified on-hand stock less active reservations.</w:t>
            </w:r>
          </w:p>
        </w:tc>
      </w:tr>
      <w:tr>
        <w:tc>
          <w:tcPr>
            <w:tcW w:type="dxa" w:w="22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Landed cost</w:t>
            </w:r>
          </w:p>
        </w:tc>
        <w:tc>
          <w:tcPr>
            <w:tcW w:type="dxa" w:w="71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Purchase cost plus explicitly allocated import/related costs less linked refunds, expressed in EGP.</w:t>
            </w:r>
          </w:p>
        </w:tc>
      </w:tr>
      <w:tr>
        <w:tc>
          <w:tcPr>
            <w:tcW w:type="dxa" w:w="2250"/>
            <w:tcMar>
              <w:top w:w="80" w:type="dxa"/>
              <w:start w:w="120" w:type="dxa"/>
              <w:bottom w:w="80" w:type="dxa"/>
              <w:end w:w="120" w:type="dxa"/>
            </w:tcMar>
            <w:vAlign w:val="center"/>
          </w:tcPr>
          <w:p>
            <w:pPr>
              <w:spacing w:before="0" w:after="0" w:line="259" w:lineRule="auto"/>
            </w:pPr>
            <w:r/>
            <w:r>
              <w:rPr>
                <w:rFonts w:ascii="Calibri" w:hAnsi="Calibri"/>
                <w:b w:val="0"/>
                <w:color w:val="000000"/>
                <w:sz w:val="18"/>
              </w:rPr>
              <w:t>COGS</w:t>
            </w:r>
          </w:p>
        </w:tc>
        <w:tc>
          <w:tcPr>
            <w:tcW w:type="dxa" w:w="7110"/>
            <w:tcMar>
              <w:top w:w="80" w:type="dxa"/>
              <w:start w:w="120" w:type="dxa"/>
              <w:bottom w:w="80" w:type="dxa"/>
              <w:end w:w="120" w:type="dxa"/>
            </w:tcMar>
            <w:vAlign w:val="center"/>
          </w:tcPr>
          <w:p>
            <w:pPr>
              <w:spacing w:before="0" w:after="0" w:line="259" w:lineRule="auto"/>
            </w:pPr>
            <w:r/>
            <w:r>
              <w:rPr>
                <w:rFonts w:ascii="Calibri" w:hAnsi="Calibri"/>
                <w:b w:val="0"/>
                <w:color w:val="000000"/>
                <w:sz w:val="18"/>
              </w:rPr>
              <w:t>Cost of goods sold, retained from the exact batch allocations used by a sale.</w:t>
            </w:r>
          </w:p>
        </w:tc>
      </w:tr>
      <w:tr>
        <w:tc>
          <w:tcPr>
            <w:tcW w:type="dxa" w:w="22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Accounting profit</w:t>
            </w:r>
          </w:p>
        </w:tc>
        <w:tc>
          <w:tcPr>
            <w:tcW w:type="dxa" w:w="71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Revenue less COGS and attributable expenses. It is distinct from cash flow.</w:t>
            </w:r>
          </w:p>
        </w:tc>
      </w:tr>
      <w:tr>
        <w:tc>
          <w:tcPr>
            <w:tcW w:type="dxa" w:w="2250"/>
            <w:tcMar>
              <w:top w:w="80" w:type="dxa"/>
              <w:start w:w="120" w:type="dxa"/>
              <w:bottom w:w="80" w:type="dxa"/>
              <w:end w:w="120" w:type="dxa"/>
            </w:tcMar>
            <w:vAlign w:val="center"/>
          </w:tcPr>
          <w:p>
            <w:pPr>
              <w:spacing w:before="0" w:after="0" w:line="259" w:lineRule="auto"/>
            </w:pPr>
            <w:r/>
            <w:r>
              <w:rPr>
                <w:rFonts w:ascii="Calibri" w:hAnsi="Calibri"/>
                <w:b w:val="0"/>
                <w:color w:val="000000"/>
                <w:sz w:val="18"/>
              </w:rPr>
              <w:t>Cash flow</w:t>
            </w:r>
          </w:p>
        </w:tc>
        <w:tc>
          <w:tcPr>
            <w:tcW w:type="dxa" w:w="7110"/>
            <w:tcMar>
              <w:top w:w="80" w:type="dxa"/>
              <w:start w:w="120" w:type="dxa"/>
              <w:bottom w:w="80" w:type="dxa"/>
              <w:end w:w="120" w:type="dxa"/>
            </w:tcMar>
            <w:vAlign w:val="center"/>
          </w:tcPr>
          <w:p>
            <w:pPr>
              <w:spacing w:before="0" w:after="0" w:line="259" w:lineRule="auto"/>
            </w:pPr>
            <w:r/>
            <w:r>
              <w:rPr>
                <w:rFonts w:ascii="Calibri" w:hAnsi="Calibri"/>
                <w:b w:val="0"/>
                <w:color w:val="000000"/>
                <w:sz w:val="18"/>
              </w:rPr>
              <w:t>Actual financial inflows less outflows by transaction date, independent of whether revenue/expense is recognized.</w:t>
            </w:r>
          </w:p>
        </w:tc>
      </w:tr>
      <w:tr>
        <w:tc>
          <w:tcPr>
            <w:tcW w:type="dxa" w:w="225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Core partner</w:t>
            </w:r>
          </w:p>
        </w:tc>
        <w:tc>
          <w:tcPr>
            <w:tcW w:type="dxa" w:w="7110"/>
            <w:shd w:fill="FAFBFC"/>
            <w:tcMar>
              <w:top w:w="80" w:type="dxa"/>
              <w:start w:w="120" w:type="dxa"/>
              <w:bottom w:w="80" w:type="dxa"/>
              <w:end w:w="120" w:type="dxa"/>
            </w:tcMar>
            <w:vAlign w:val="center"/>
          </w:tcPr>
          <w:p>
            <w:pPr>
              <w:spacing w:before="0" w:after="0" w:line="259" w:lineRule="auto"/>
            </w:pPr>
            <w:r/>
            <w:r>
              <w:rPr>
                <w:rFonts w:ascii="Calibri" w:hAnsi="Calibri"/>
                <w:b w:val="0"/>
                <w:color w:val="000000"/>
                <w:sz w:val="18"/>
              </w:rPr>
              <w:t>One of the three permanent internally authorized business operators.</w:t>
            </w:r>
          </w:p>
        </w:tc>
      </w:tr>
      <w:tr>
        <w:tc>
          <w:tcPr>
            <w:tcW w:type="dxa" w:w="2250"/>
            <w:tcMar>
              <w:top w:w="80" w:type="dxa"/>
              <w:start w:w="120" w:type="dxa"/>
              <w:bottom w:w="80" w:type="dxa"/>
              <w:end w:w="120" w:type="dxa"/>
            </w:tcMar>
            <w:vAlign w:val="center"/>
          </w:tcPr>
          <w:p>
            <w:pPr>
              <w:spacing w:before="0" w:after="0" w:line="259" w:lineRule="auto"/>
            </w:pPr>
            <w:r/>
            <w:r>
              <w:rPr>
                <w:rFonts w:ascii="Calibri" w:hAnsi="Calibri"/>
                <w:b w:val="0"/>
                <w:color w:val="000000"/>
                <w:sz w:val="18"/>
              </w:rPr>
              <w:t>Temporary investor</w:t>
            </w:r>
          </w:p>
        </w:tc>
        <w:tc>
          <w:tcPr>
            <w:tcW w:type="dxa" w:w="7110"/>
            <w:tcMar>
              <w:top w:w="80" w:type="dxa"/>
              <w:start w:w="120" w:type="dxa"/>
              <w:bottom w:w="80" w:type="dxa"/>
              <w:end w:w="120" w:type="dxa"/>
            </w:tcMar>
            <w:vAlign w:val="center"/>
          </w:tcPr>
          <w:p>
            <w:pPr>
              <w:spacing w:before="0" w:after="0" w:line="259" w:lineRule="auto"/>
            </w:pPr>
            <w:r/>
            <w:r>
              <w:rPr>
                <w:rFonts w:ascii="Calibri" w:hAnsi="Calibri"/>
                <w:b w:val="0"/>
                <w:color w:val="000000"/>
                <w:sz w:val="18"/>
              </w:rPr>
              <w:t>A financial participant limited to specific cycle agreement(s), without default internal operating authority.</w:t>
            </w:r>
          </w:p>
        </w:tc>
      </w:tr>
    </w:tbl>
    <w:p>
      <w:pPr>
        <w:spacing w:before="0" w:after="80"/>
      </w:pPr>
    </w:p>
    <w:p>
      <w:pPr>
        <w:spacing w:before="280" w:after="0" w:line="264" w:lineRule="auto"/>
      </w:pPr>
      <w:r>
        <w:rPr>
          <w:rFonts w:ascii="Calibri" w:hAnsi="Calibri"/>
          <w:b w:val="0"/>
          <w:i/>
          <w:color w:val="5B6573"/>
          <w:sz w:val="19"/>
        </w:rPr>
        <w:t>End of specification.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7"/>
      </w:rPr>
      <w:t xml:space="preserve">Internal implementation reference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MOTORCYCLE PARTS MANAGEMENT SYSTEM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