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CLM-2025-04651</w:t>
      </w:r>
    </w:p>
    <w:p>
      <w:r>
        <w:t>Policy Number: MMIC-PAP-102118 (Rebecca J. Aldridge)</w:t>
      </w:r>
    </w:p>
    <w:p>
      <w:r>
        <w:t>Governing Policy Form: PAP-2025-STD</w:t>
      </w:r>
    </w:p>
    <w:p>
      <w:pPr>
        <w:pStyle w:val="Heading2"/>
      </w:pPr>
      <w:r>
        <w:t>Step 1 — Policy Version Match</w:t>
      </w:r>
    </w:p>
    <w:p>
      <w:r>
        <w:t>Date of loss 2025-08-25 checked against the Declarations page for MMIC-PAP-102118, effective 2025-06-05 under Form PAP-2025-STD.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Collision coverage confirmed on Declarations page. Deductible: $500.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Computed by the deterministic claims-calculation service: min($2,800, Collision coverage) - $500 deductible = $2,300.</w:t>
      </w:r>
    </w:p>
    <w:p>
      <w:pPr>
        <w:pStyle w:val="Heading2"/>
      </w:pPr>
      <w:r>
        <w:t>Step 5 — Recommendation and Approval</w:t>
      </w:r>
    </w:p>
    <w:p>
      <w:r>
        <w:t>Recommendation drafted: approve payout of $2,300, citing the coverage and exclusion sections referenced above. Pending adjuster approval before communication to policyholder or payment issuance.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