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CLM-2025-04742</w:t>
      </w:r>
    </w:p>
    <w:p>
      <w:r>
        <w:t>Policy Number: MMIC-PAP-102415 (Priya S. Venkataraman)</w:t>
      </w:r>
    </w:p>
    <w:p>
      <w:r>
        <w:t>Governing Policy Form: PAP-2025-STD</w:t>
      </w:r>
    </w:p>
    <w:p>
      <w:pPr>
        <w:pStyle w:val="Heading2"/>
      </w:pPr>
      <w:r>
        <w:t>Step 1 — Policy Version Match</w:t>
      </w:r>
    </w:p>
    <w:p>
      <w:r>
        <w:t>Date of loss 2025-08-30 checked against the Declarations page for MMIC-PAP-102415, effective 2025-07-10 under Form PAP-2025-STD.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Comprehensive coverage confirmed on Declarations page. Deductible: $250.</w:t>
      </w:r>
    </w:p>
    <w:p>
      <w:pPr>
        <w:pStyle w:val="Heading2"/>
      </w:pPr>
      <w:r>
        <w:t>Step 3 — Exclusion Check</w:t>
      </w:r>
    </w:p>
    <w:p>
      <w:r>
        <w:t>No exclusion indicators identified in the claim narrative against the Standard Exclusions Addendum.</w:t>
      </w:r>
    </w:p>
    <w:p>
      <w:pPr>
        <w:pStyle w:val="Heading2"/>
      </w:pPr>
      <w:r>
        <w:t>Step 4 — Payout Computation</w:t>
      </w:r>
    </w:p>
    <w:p>
      <w:r>
        <w:t>Computed by the deterministic claims-calculation service: min($890, Comprehensive coverage) - $0 deductible = $890. Glass-only deductible waiver (PAP-2025-STD Section 5.4) applies.</w:t>
      </w:r>
    </w:p>
    <w:p>
      <w:pPr>
        <w:pStyle w:val="Heading2"/>
      </w:pPr>
      <w:r>
        <w:t>Step 5 — Recommendation and Approval</w:t>
      </w:r>
    </w:p>
    <w:p>
      <w:r>
        <w:t>Recommendation drafted: approve payout of $890, citing the coverage and exclusion sections referenced above. Pending adjuster approval before communication to policyholder or payment issuance.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