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CLM-2025-04835</w:t>
      </w:r>
    </w:p>
    <w:p>
      <w:r>
        <w:t>Policy Number: MMIC-PAP-102778</w:t>
      </w:r>
    </w:p>
    <w:p>
      <w:r>
        <w:t>Vehicle: 2019 Ram 1500</w:t>
      </w:r>
    </w:p>
    <w:p>
      <w:r>
        <w:t>Date of Loss: 2025-09-09</w:t>
      </w:r>
    </w:p>
    <w:p>
      <w:r>
        <w:t>Loss Type: Comprehensive</w:t>
      </w:r>
    </w:p>
    <w:p>
      <w:pPr>
        <w:pStyle w:val="Heading2"/>
      </w:pPr>
      <w:r>
        <w:t>Damage Description</w:t>
      </w:r>
    </w:p>
    <w:p>
      <w:r>
        <w:t>Insured reports hail damage to the hood and roof after a storm in Zanesville.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$2,300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$2,300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