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MMIC-PAP-102705</w:t>
      </w:r>
    </w:p>
    <w:p>
      <w:r>
        <w:t>Policy Form: PAP-2025-STD (effective 2025-06-01)</w:t>
      </w:r>
    </w:p>
    <w:p>
      <w:r>
        <w:t>Named Insured: Camille R. Dupree</w:t>
      </w:r>
    </w:p>
    <w:p>
      <w:r>
        <w:t>Address: 402 Ashworth Cir, Newark, OH 43055</w:t>
      </w:r>
    </w:p>
    <w:p>
      <w:r>
        <w:t>Policy Period Begins: 2025-06-25</w:t>
      </w:r>
    </w:p>
    <w:p>
      <w:pPr>
        <w:pStyle w:val="Heading2"/>
      </w:pPr>
      <w:r>
        <w:t>Covered Vehicle</w:t>
      </w:r>
    </w:p>
    <w:p>
      <w:r>
        <w:t>2022 Honda CR-V — VIN 7FARW2H50NE123456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250/500/100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$250,000 / $500,000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$45/day,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Loan/Lease Gap Coverage Endorsement (END-GAP-01)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