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MMIC-PAP-102778</w:t>
      </w:r>
    </w:p>
    <w:p>
      <w:r>
        <w:t>Policy Form: PAP-2024-STD (effective 2024-01-01)</w:t>
      </w:r>
    </w:p>
    <w:p>
      <w:r>
        <w:t>Named Insured: Bradley S. Tolliver</w:t>
      </w:r>
    </w:p>
    <w:p>
      <w:r>
        <w:t>Address: 63 Hillview Ave, Zanesville, OH 43701</w:t>
      </w:r>
    </w:p>
    <w:p>
      <w:r>
        <w:t>Policy Period Begins: 2024-08-09</w:t>
      </w:r>
    </w:p>
    <w:p>
      <w:pPr>
        <w:pStyle w:val="Heading2"/>
      </w:pPr>
      <w:r>
        <w:t>Covered Vehicle</w:t>
      </w:r>
    </w:p>
    <w:p>
      <w:r>
        <w:t>2019 Ram 1500 — VIN 1C6RR7LT3KS123456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100/300/50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$100,000 / $300,000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$30/day,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2"/>
      </w:pPr>
      <w:r>
        <w:t>Endorsements Attached</w:t>
      </w:r>
    </w:p>
    <w:p>
      <w:pPr>
        <w:pStyle w:val="ListBullet"/>
      </w:pPr>
      <w:r>
        <w:t>Named Non-Owner Household Driver Endorsement (END-NN-01)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