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Adjuster Case Notes</w:t>
      </w:r>
    </w:p>
    <w:p>
      <w:r>
        <w:t>Claim Number: CLM-2025-04688</w:t>
      </w:r>
    </w:p>
    <w:p>
      <w:r>
        <w:t>Policy Number: MMIC-PAP-102203 (Terrence O. Boyd)</w:t>
      </w:r>
    </w:p>
    <w:p>
      <w:r>
        <w:t>Governing Policy Form: PAP-2024-STD</w:t>
      </w:r>
    </w:p>
    <w:p>
      <w:pPr>
        <w:pStyle w:val="Heading2"/>
      </w:pPr>
      <w:r>
        <w:t>Step 1 — Policy Version Match</w:t>
      </w:r>
    </w:p>
    <w:p>
      <w:r>
        <w:t>Date of loss 2024-07-01 checked against the Declarations page for MMIC-PAP-102203, effective 2024-09-12 under Form PAP-2024-STD. ANOMALY: date of loss precedes the policy's effective date — see below.</w:t>
      </w:r>
    </w:p>
    <w:p>
      <w:pPr>
        <w:pStyle w:val="Heading2"/>
      </w:pPr>
      <w:r>
        <w:t>Step 2 — Coverage, Limits, and Deductibles</w:t>
      </w:r>
    </w:p>
    <w:p>
      <w:r>
        <w:t>Liability coverage confirmed. Property Damage limit: $50,000.</w:t>
      </w:r>
    </w:p>
    <w:p>
      <w:pPr>
        <w:pStyle w:val="Heading2"/>
      </w:pPr>
      <w:r>
        <w:t>Step 3 — Exclusion Check</w:t>
      </w:r>
    </w:p>
    <w:p>
      <w:r>
        <w:t>No exclusion indicators identified in the claim narrative against the Standard Exclusions Addendum.</w:t>
      </w:r>
    </w:p>
    <w:p>
      <w:pPr>
        <w:pStyle w:val="Heading2"/>
      </w:pPr>
      <w:r>
        <w:t>Step 4 — Payout Computation</w:t>
      </w:r>
    </w:p>
    <w:p>
      <w:r>
        <w:t>Not computed — claim flagged for review before adjudication (see below).</w:t>
      </w:r>
    </w:p>
    <w:p>
      <w:pPr>
        <w:pStyle w:val="Heading2"/>
      </w:pPr>
      <w:r>
        <w:t>Step 5 — Recommendation and Approval</w:t>
      </w:r>
    </w:p>
    <w:p>
      <w:r>
        <w:t>FLAGGED — routed to supervising adjuster before any recommendation is drafted. Reason: Date of loss (2024-07-01) precedes the policy's effective date (2024-09-12) shown on the Declarations page. Per Adjudication Guidelines Section 3, this is an anomaly indicator — escalate for supervisor review rather than adjudicating on the assumption that coverage was in force.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