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CLM-2025-04867</w:t>
      </w:r>
    </w:p>
    <w:p>
      <w:r>
        <w:t>Policy Number: MMIC-PAP-102913 (Nathaniel Q. Simmons)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2025-09-13 checked against the Declarations page for MMIC-PAP-102913, effective 2024-12-03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Uninsured/Underinsured Motorist coverage confirmed on Declarations page. Per-accident limit: $300,000. No deductible applies under Part C.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min($8,000, UM/UIM per-accident limit $300,000) = $8,000. No deductible applies under Part C.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$8,000,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