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CLM-2025-04417</w:t>
      </w:r>
    </w:p>
    <w:p>
      <w:r>
        <w:t>Policy Number: MMIC-PAP-100234</w:t>
      </w:r>
    </w:p>
    <w:p>
      <w:r>
        <w:t>Vehicle: 2021 Honda Accord</w:t>
      </w:r>
    </w:p>
    <w:p>
      <w:r>
        <w:t>Date of Loss: 2025-08-03</w:t>
      </w:r>
    </w:p>
    <w:p>
      <w:r>
        <w:t>Loss Type: Collision</w:t>
      </w:r>
    </w:p>
    <w:p>
      <w:pPr>
        <w:pStyle w:val="Heading2"/>
      </w:pPr>
      <w:r>
        <w:t>Damage Description</w:t>
      </w:r>
    </w:p>
    <w:p>
      <w:r>
        <w:t>Insured vehicle struck another vehicle's rear bumper while stopped in traffic on I-70 eastbound near Dayton. Insured at fault; other driver reported no injuries.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$3,200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$3,200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