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Meridian Mutual Insurance Company — Declarations Page</w:t>
      </w:r>
    </w:p>
    <w:p>
      <w:r>
        <w:t>Policy Number: MMIC-PAP-102841</w:t>
      </w:r>
    </w:p>
    <w:p>
      <w:r>
        <w:t>Policy Form: PAP-2025-STD (effective 2025-06-01)</w:t>
      </w:r>
    </w:p>
    <w:p>
      <w:r>
        <w:t>Named Insured: Yolanda M. Briggs</w:t>
      </w:r>
    </w:p>
    <w:p>
      <w:r>
        <w:t>Address: 1122 Parkside Dr, Lancaster, OH 43130</w:t>
      </w:r>
    </w:p>
    <w:p>
      <w:r>
        <w:t>Policy Period Begins: 2025-07-22</w:t>
      </w:r>
    </w:p>
    <w:p>
      <w:pPr>
        <w:pStyle w:val="Heading2"/>
      </w:pPr>
      <w:r>
        <w:t>Covered Vehicle</w:t>
      </w:r>
    </w:p>
    <w:p>
      <w:r>
        <w:t>2021 Chevrolet Equinox — VIN 3GNAXUEV5MS123456</w:t>
      </w:r>
    </w:p>
    <w:p>
      <w:pPr>
        <w:pStyle w:val="Heading2"/>
      </w:pPr>
      <w:r>
        <w:t>Coverage Selections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Coverage</w:t>
            </w:r>
          </w:p>
        </w:tc>
        <w:tc>
          <w:tcPr>
            <w:tcW w:type="dxa" w:w="2880"/>
          </w:tcPr>
          <w:p>
            <w:r>
              <w:t>Limit</w:t>
            </w:r>
          </w:p>
        </w:tc>
        <w:tc>
          <w:tcPr>
            <w:tcW w:type="dxa" w:w="2880"/>
          </w:tcPr>
          <w:p>
            <w:r>
              <w:t>Deductible</w:t>
            </w:r>
          </w:p>
        </w:tc>
      </w:tr>
      <w:tr>
        <w:tc>
          <w:tcPr>
            <w:tcW w:type="dxa" w:w="2880"/>
          </w:tcPr>
          <w:p>
            <w:r>
              <w:t>Liability (BI per person / BI per accident / PD)</w:t>
            </w:r>
          </w:p>
        </w:tc>
        <w:tc>
          <w:tcPr>
            <w:tcW w:type="dxa" w:w="2880"/>
          </w:tcPr>
          <w:p>
            <w:r>
              <w:t>300/500/100 (thousands)</w:t>
            </w:r>
          </w:p>
        </w:tc>
        <w:tc>
          <w:tcPr>
            <w:tcW w:type="dxa" w:w="2880"/>
          </w:tcPr>
          <w:p>
            <w:r>
              <w:t>N/A</w:t>
            </w:r>
          </w:p>
        </w:tc>
      </w:tr>
      <w:tr>
        <w:tc>
          <w:tcPr>
            <w:tcW w:type="dxa" w:w="2880"/>
          </w:tcPr>
          <w:p>
            <w:r>
              <w:t>Medical Payments</w:t>
            </w:r>
          </w:p>
        </w:tc>
        <w:tc>
          <w:tcPr>
            <w:tcW w:type="dxa" w:w="2880"/>
          </w:tcPr>
          <w:p>
            <w:r>
              <w:t>$10,000</w:t>
            </w:r>
          </w:p>
        </w:tc>
        <w:tc>
          <w:tcPr>
            <w:tcW w:type="dxa" w:w="2880"/>
          </w:tcPr>
          <w:p>
            <w:r>
              <w:t>N/A</w:t>
            </w:r>
          </w:p>
        </w:tc>
      </w:tr>
      <w:tr>
        <w:tc>
          <w:tcPr>
            <w:tcW w:type="dxa" w:w="2880"/>
          </w:tcPr>
          <w:p>
            <w:r>
              <w:t>Uninsured/Underinsured Motorist</w:t>
            </w:r>
          </w:p>
        </w:tc>
        <w:tc>
          <w:tcPr>
            <w:tcW w:type="dxa" w:w="2880"/>
          </w:tcPr>
          <w:p>
            <w:r>
              <w:t>$300,000 / $500,000</w:t>
            </w:r>
          </w:p>
        </w:tc>
        <w:tc>
          <w:tcPr>
            <w:tcW w:type="dxa" w:w="2880"/>
          </w:tcPr>
          <w:p>
            <w:r>
              <w:t>N/A</w:t>
            </w:r>
          </w:p>
        </w:tc>
      </w:tr>
      <w:tr>
        <w:tc>
          <w:tcPr>
            <w:tcW w:type="dxa" w:w="2880"/>
          </w:tcPr>
          <w:p>
            <w:r>
              <w:t>Collision</w:t>
            </w:r>
          </w:p>
        </w:tc>
        <w:tc>
          <w:tcPr>
            <w:tcW w:type="dxa" w:w="2880"/>
          </w:tcPr>
          <w:p>
            <w:r>
              <w:t>Actual Cash Value</w:t>
            </w:r>
          </w:p>
        </w:tc>
        <w:tc>
          <w:tcPr>
            <w:tcW w:type="dxa" w:w="2880"/>
          </w:tcPr>
          <w:p>
            <w:r>
              <w:t>$500</w:t>
            </w:r>
          </w:p>
        </w:tc>
      </w:tr>
      <w:tr>
        <w:tc>
          <w:tcPr>
            <w:tcW w:type="dxa" w:w="2880"/>
          </w:tcPr>
          <w:p>
            <w:r>
              <w:t>Comprehensive</w:t>
            </w:r>
          </w:p>
        </w:tc>
        <w:tc>
          <w:tcPr>
            <w:tcW w:type="dxa" w:w="2880"/>
          </w:tcPr>
          <w:p>
            <w:r>
              <w:t>Actual Cash Value</w:t>
            </w:r>
          </w:p>
        </w:tc>
        <w:tc>
          <w:tcPr>
            <w:tcW w:type="dxa" w:w="2880"/>
          </w:tcPr>
          <w:p>
            <w:r>
              <w:t>$500</w:t>
            </w:r>
          </w:p>
        </w:tc>
      </w:tr>
      <w:tr>
        <w:tc>
          <w:tcPr>
            <w:tcW w:type="dxa" w:w="2880"/>
          </w:tcPr>
          <w:p>
            <w:r>
              <w:t>Transportation Expenses</w:t>
            </w:r>
          </w:p>
        </w:tc>
        <w:tc>
          <w:tcPr>
            <w:tcW w:type="dxa" w:w="2880"/>
          </w:tcPr>
          <w:p>
            <w:r>
              <w:t>$60/day, max 30 days</w:t>
            </w:r>
          </w:p>
        </w:tc>
        <w:tc>
          <w:tcPr>
            <w:tcW w:type="dxa" w:w="2880"/>
          </w:tcPr>
          <w:p>
            <w:r>
              <w:t>N/A</w:t>
            </w:r>
          </w:p>
        </w:tc>
      </w:tr>
    </w:tbl>
    <w:p>
      <w:pPr>
        <w:pStyle w:val="Heading2"/>
      </w:pPr>
      <w:r>
        <w:t>Endorsements Attached</w:t>
      </w:r>
    </w:p>
    <w:p>
      <w:pPr>
        <w:pStyle w:val="ListBullet"/>
      </w:pPr>
      <w:r>
        <w:t>Rental Reimbursement Increase Endorsement (END-RR-01)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