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Meridian Mutual Insurance Company — Declarations Page</w:t>
      </w:r>
    </w:p>
    <w:p>
      <w:r>
        <w:t>Policy Number: MMIC-PAP-102634</w:t>
      </w:r>
    </w:p>
    <w:p>
      <w:r>
        <w:t>Policy Form: PAP-2024-STD (effective 2024-01-01)</w:t>
      </w:r>
    </w:p>
    <w:p>
      <w:r>
        <w:t>Named Insured: Walter B. Higgins</w:t>
      </w:r>
    </w:p>
    <w:p>
      <w:r>
        <w:t>Address: 19 Sycamore Row, Marion, OH 43302</w:t>
      </w:r>
    </w:p>
    <w:p>
      <w:r>
        <w:t>Policy Period Begins: 2024-06-18</w:t>
      </w:r>
    </w:p>
    <w:p>
      <w:pPr>
        <w:pStyle w:val="Heading2"/>
      </w:pPr>
      <w:r>
        <w:t>Covered Vehicle</w:t>
      </w:r>
    </w:p>
    <w:p>
      <w:r>
        <w:t>2015 Ford Escape — VIN 1FMCU9GX5FUA12345</w:t>
      </w:r>
    </w:p>
    <w:p>
      <w:pPr>
        <w:pStyle w:val="Heading2"/>
      </w:pPr>
      <w:r>
        <w:t>Coverage Selections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Coverage</w:t>
            </w:r>
          </w:p>
        </w:tc>
        <w:tc>
          <w:tcPr>
            <w:tcW w:type="dxa" w:w="2880"/>
          </w:tcPr>
          <w:p>
            <w:r>
              <w:t>Limit</w:t>
            </w:r>
          </w:p>
        </w:tc>
        <w:tc>
          <w:tcPr>
            <w:tcW w:type="dxa" w:w="2880"/>
          </w:tcPr>
          <w:p>
            <w:r>
              <w:t>Deductible</w:t>
            </w:r>
          </w:p>
        </w:tc>
      </w:tr>
      <w:tr>
        <w:tc>
          <w:tcPr>
            <w:tcW w:type="dxa" w:w="2880"/>
          </w:tcPr>
          <w:p>
            <w:r>
              <w:t>Liability (BI per person / BI per accident / PD)</w:t>
            </w:r>
          </w:p>
        </w:tc>
        <w:tc>
          <w:tcPr>
            <w:tcW w:type="dxa" w:w="2880"/>
          </w:tcPr>
          <w:p>
            <w:r>
              <w:t>100/300/50 (thousands)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Uninsured/Underinsured Motorist</w:t>
            </w:r>
          </w:p>
        </w:tc>
        <w:tc>
          <w:tcPr>
            <w:tcW w:type="dxa" w:w="2880"/>
          </w:tcPr>
          <w:p>
            <w:r>
              <w:t>$100,000 / $300,000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Collision</w:t>
            </w:r>
          </w:p>
        </w:tc>
        <w:tc>
          <w:tcPr>
            <w:tcW w:type="dxa" w:w="2880"/>
          </w:tcPr>
          <w:p>
            <w:r>
              <w:t>Actual Cash Value</w:t>
            </w:r>
          </w:p>
        </w:tc>
        <w:tc>
          <w:tcPr>
            <w:tcW w:type="dxa" w:w="2880"/>
          </w:tcPr>
          <w:p>
            <w:r>
              <w:t>$1,000</w:t>
            </w:r>
          </w:p>
        </w:tc>
      </w:tr>
      <w:tr>
        <w:tc>
          <w:tcPr>
            <w:tcW w:type="dxa" w:w="2880"/>
          </w:tcPr>
          <w:p>
            <w:r>
              <w:t>Comprehensive</w:t>
            </w:r>
          </w:p>
        </w:tc>
        <w:tc>
          <w:tcPr>
            <w:tcW w:type="dxa" w:w="2880"/>
          </w:tcPr>
          <w:p>
            <w:r>
              <w:t>Actual Cash Value</w:t>
            </w:r>
          </w:p>
        </w:tc>
        <w:tc>
          <w:tcPr>
            <w:tcW w:type="dxa" w:w="2880"/>
          </w:tcPr>
          <w:p>
            <w:r>
              <w:t>$1,000</w:t>
            </w:r>
          </w:p>
        </w:tc>
      </w:tr>
      <w:tr>
        <w:tc>
          <w:tcPr>
            <w:tcW w:type="dxa" w:w="2880"/>
          </w:tcPr>
          <w:p>
            <w:r>
              <w:t>Transportation Expenses</w:t>
            </w:r>
          </w:p>
        </w:tc>
        <w:tc>
          <w:tcPr>
            <w:tcW w:type="dxa" w:w="2880"/>
          </w:tcPr>
          <w:p>
            <w:r>
              <w:t>$30/day, max 30 days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