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MMIC-PAP-102913</w:t>
      </w:r>
    </w:p>
    <w:p>
      <w:r>
        <w:t>Policy Form: PAP-2024-STD (effective 2024-01-01)</w:t>
      </w:r>
    </w:p>
    <w:p>
      <w:r>
        <w:t>Named Insured: Nathaniel Q. Simmons</w:t>
      </w:r>
    </w:p>
    <w:p>
      <w:r>
        <w:t>Address: 47 Brambleton Way, Chillicothe, OH 45601</w:t>
      </w:r>
    </w:p>
    <w:p>
      <w:r>
        <w:t>Policy Period Begins: 2024-12-03</w:t>
      </w:r>
    </w:p>
    <w:p>
      <w:pPr>
        <w:pStyle w:val="Heading2"/>
      </w:pPr>
      <w:r>
        <w:t>Covered Vehicle</w:t>
      </w:r>
    </w:p>
    <w:p>
      <w:r>
        <w:t>2020 Toyota RAV4 — VIN 2T3P1RFV0LW123456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$5,000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