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CLM-2025-04578</w:t>
      </w:r>
    </w:p>
    <w:p>
      <w:r>
        <w:t>Policy Number: MMIC-PAP-101456 (Aisha K. Patel)</w:t>
      </w:r>
    </w:p>
    <w:p>
      <w:r>
        <w:t>Governing Policy Form: PAP-2025-STD</w:t>
      </w:r>
    </w:p>
    <w:p>
      <w:pPr>
        <w:pStyle w:val="Heading2"/>
      </w:pPr>
      <w:r>
        <w:t>Step 1 — Policy Version Match</w:t>
      </w:r>
    </w:p>
    <w:p>
      <w:r>
        <w:t>Date of loss 2025-08-19 checked against the Declarations page for MMIC-PAP-101456, effective 2025-06-20 under Form PAP-2025-STD.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Collision coverage confirmed on Declarations page. Deductible: $250.</w:t>
      </w:r>
    </w:p>
    <w:p>
      <w:pPr>
        <w:pStyle w:val="Heading2"/>
      </w:pPr>
      <w:r>
        <w:t>Step 3 — Exclusion Check</w:t>
      </w:r>
    </w:p>
    <w:p>
      <w:r>
        <w:t>Ride-share/TNC use confirmed in claim narrative. Ride-share/TNC Endorsement IS attached — exclusion does not apply.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min($5,600, Collision coverage) - $250 deductible = $5,350.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$5,350,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