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CLM-2025-04802</w:t>
      </w:r>
    </w:p>
    <w:p>
      <w:r>
        <w:t>Policy Number: MMIC-PAP-102634 (Walter B. Higgins)</w:t>
      </w:r>
    </w:p>
    <w:p>
      <w:r>
        <w:t>Governing Policy Form: PAP-2024-STD</w:t>
      </w:r>
    </w:p>
    <w:p>
      <w:pPr>
        <w:pStyle w:val="Heading2"/>
      </w:pPr>
      <w:r>
        <w:t>Step 1 — Policy Version Match</w:t>
      </w:r>
    </w:p>
    <w:p>
      <w:r>
        <w:t>Date of loss 2025-09-05 checked against the Declarations page for MMIC-PAP-102634, effective 2024-06-18 under Form PAP-2024-STD.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Collision coverage confirmed on Declarations page. Deductible: $1,000.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min($3,600, Collision coverage) - $1,000 deductible = $2,600.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$2,600,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