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CLM-2025-04578</w:t>
      </w:r>
    </w:p>
    <w:p>
      <w:r>
        <w:t>Policy Number: MMIC-PAP-101456</w:t>
      </w:r>
    </w:p>
    <w:p>
      <w:r>
        <w:t>Vehicle: 2020 Subaru Outback</w:t>
      </w:r>
    </w:p>
    <w:p>
      <w:r>
        <w:t>Date of Loss: 2025-08-19</w:t>
      </w:r>
    </w:p>
    <w:p>
      <w:r>
        <w:t>Loss Type: Collision</w:t>
      </w:r>
    </w:p>
    <w:p>
      <w:pPr>
        <w:pStyle w:val="Heading2"/>
      </w:pPr>
      <w:r>
        <w:t>Damage Description</w:t>
      </w:r>
    </w:p>
    <w:p>
      <w:r>
        <w:t>Insured was actively logged into a ride-share app and en route to pick up a passenger when she rear-ended a stopped vehicle at a red light in Columbus.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$5,600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$5,600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