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Independent Repair Estimate</w:t>
      </w:r>
    </w:p>
    <w:p>
      <w:r>
        <w:t>Claim Number: CLM-2025-04819</w:t>
      </w:r>
    </w:p>
    <w:p>
      <w:r>
        <w:t>Policy Number: MMIC-PAP-102705</w:t>
      </w:r>
    </w:p>
    <w:p>
      <w:r>
        <w:t>Vehicle: 2022 Honda CR-V</w:t>
      </w:r>
    </w:p>
    <w:p>
      <w:r>
        <w:t>Date of Loss: 2025-09-07</w:t>
      </w:r>
    </w:p>
    <w:p>
      <w:r>
        <w:t>Loss Type: Collision</w:t>
      </w:r>
    </w:p>
    <w:p>
      <w:pPr>
        <w:pStyle w:val="Heading2"/>
      </w:pPr>
      <w:r>
        <w:t>Damage Description</w:t>
      </w:r>
    </w:p>
    <w:p>
      <w:r>
        <w:t>Insured's vehicle was struck by a commercial truck on OH-16 near Newark, causing extensive front and side-panel damage. Repair shop estimate approaches the vehicle's approximate market value; total-loss review may apply.</w:t>
      </w:r>
    </w:p>
    <w:p>
      <w:pPr>
        <w:pStyle w:val="Heading2"/>
      </w:pPr>
      <w:r>
        <w:t>Estimate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 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Parts and Labor</w:t>
            </w:r>
          </w:p>
        </w:tc>
        <w:tc>
          <w:tcPr>
            <w:tcW w:type="dxa" w:w="4320"/>
          </w:tcPr>
          <w:p>
            <w:r>
              <w:t>$9,800</w:t>
            </w:r>
          </w:p>
        </w:tc>
      </w:tr>
      <w:tr>
        <w:tc>
          <w:tcPr>
            <w:tcW w:type="dxa" w:w="4320"/>
          </w:tcPr>
          <w:p>
            <w:r>
              <w:t>Total Estimated Damage</w:t>
            </w:r>
          </w:p>
        </w:tc>
        <w:tc>
          <w:tcPr>
            <w:tcW w:type="dxa" w:w="4320"/>
          </w:tcPr>
          <w:p>
            <w:r>
              <w:t>$9,800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