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MMIC-PAP-100234</w:t>
      </w:r>
    </w:p>
    <w:p>
      <w:r>
        <w:t>Policy Form: PAP-2024-STD (effective 2024-01-01)</w:t>
      </w:r>
    </w:p>
    <w:p>
      <w:r>
        <w:t>Named Insured: John A. Whitfield</w:t>
      </w:r>
    </w:p>
    <w:p>
      <w:r>
        <w:t>Address: 118 Larchmont Ave, Dayton, OH 45402</w:t>
      </w:r>
    </w:p>
    <w:p>
      <w:r>
        <w:t>Policy Period Begins: 2024-03-01</w:t>
      </w:r>
    </w:p>
    <w:p>
      <w:pPr>
        <w:pStyle w:val="Heading2"/>
      </w:pPr>
      <w:r>
        <w:t>Covered Vehicle</w:t>
      </w:r>
    </w:p>
    <w:p>
      <w:r>
        <w:t>2021 Honda Accord — VIN 1HGCV1F34MA012345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Roadside Assistance Endorsement (END-RA-01)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