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Meridian Mutual Insurance Company — Declarations Page</w:t>
      </w:r>
    </w:p>
    <w:p>
      <w:r>
        <w:t>Policy Number: MMIC-PAP-102489</w:t>
      </w:r>
    </w:p>
    <w:p>
      <w:r>
        <w:t>Policy Form: PAP-2024-STD (effective 2024-01-01)</w:t>
      </w:r>
    </w:p>
    <w:p>
      <w:r>
        <w:t>Named Insured: Gregory M. Falk</w:t>
      </w:r>
    </w:p>
    <w:p>
      <w:r>
        <w:t>Address: 613 Northgate Rd, Lima, OH 45801</w:t>
      </w:r>
    </w:p>
    <w:p>
      <w:r>
        <w:t>Policy Period Begins: 2024-11-30</w:t>
      </w:r>
    </w:p>
    <w:p>
      <w:pPr>
        <w:pStyle w:val="Heading2"/>
      </w:pPr>
      <w:r>
        <w:t>Covered Vehicle</w:t>
      </w:r>
    </w:p>
    <w:p>
      <w:r>
        <w:t>2019 Subaru Forester — VIN JF2SJADC5KH123456</w:t>
      </w:r>
    </w:p>
    <w:p>
      <w:pPr>
        <w:pStyle w:val="Heading2"/>
      </w:pPr>
      <w:r>
        <w:t>Coverage Selections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Coverage</w:t>
            </w:r>
          </w:p>
        </w:tc>
        <w:tc>
          <w:tcPr>
            <w:tcW w:type="dxa" w:w="2880"/>
          </w:tcPr>
          <w:p>
            <w:r>
              <w:t>Limit</w:t>
            </w:r>
          </w:p>
        </w:tc>
        <w:tc>
          <w:tcPr>
            <w:tcW w:type="dxa" w:w="2880"/>
          </w:tcPr>
          <w:p>
            <w:r>
              <w:t>Deductible</w:t>
            </w:r>
          </w:p>
        </w:tc>
      </w:tr>
      <w:tr>
        <w:tc>
          <w:tcPr>
            <w:tcW w:type="dxa" w:w="2880"/>
          </w:tcPr>
          <w:p>
            <w:r>
              <w:t>Liability (BI per person / BI per accident / PD)</w:t>
            </w:r>
          </w:p>
        </w:tc>
        <w:tc>
          <w:tcPr>
            <w:tcW w:type="dxa" w:w="2880"/>
          </w:tcPr>
          <w:p>
            <w:r>
              <w:t>100/300/50 (thousands)</w:t>
            </w:r>
          </w:p>
        </w:tc>
        <w:tc>
          <w:tcPr>
            <w:tcW w:type="dxa" w:w="2880"/>
          </w:tcPr>
          <w:p>
            <w:r>
              <w:t>N/A</w:t>
            </w:r>
          </w:p>
        </w:tc>
      </w:tr>
      <w:tr>
        <w:tc>
          <w:tcPr>
            <w:tcW w:type="dxa" w:w="2880"/>
          </w:tcPr>
          <w:p>
            <w:r>
              <w:t>Medical Payments</w:t>
            </w:r>
          </w:p>
        </w:tc>
        <w:tc>
          <w:tcPr>
            <w:tcW w:type="dxa" w:w="2880"/>
          </w:tcPr>
          <w:p>
            <w:r>
              <w:t>$5,000</w:t>
            </w:r>
          </w:p>
        </w:tc>
        <w:tc>
          <w:tcPr>
            <w:tcW w:type="dxa" w:w="2880"/>
          </w:tcPr>
          <w:p>
            <w:r>
              <w:t>N/A</w:t>
            </w:r>
          </w:p>
        </w:tc>
      </w:tr>
      <w:tr>
        <w:tc>
          <w:tcPr>
            <w:tcW w:type="dxa" w:w="2880"/>
          </w:tcPr>
          <w:p>
            <w:r>
              <w:t>Uninsured/Underinsured Motorist</w:t>
            </w:r>
          </w:p>
        </w:tc>
        <w:tc>
          <w:tcPr>
            <w:tcW w:type="dxa" w:w="2880"/>
          </w:tcPr>
          <w:p>
            <w:r>
              <w:t>$100,000 / $300,000</w:t>
            </w:r>
          </w:p>
        </w:tc>
        <w:tc>
          <w:tcPr>
            <w:tcW w:type="dxa" w:w="2880"/>
          </w:tcPr>
          <w:p>
            <w:r>
              <w:t>N/A</w:t>
            </w:r>
          </w:p>
        </w:tc>
      </w:tr>
      <w:tr>
        <w:tc>
          <w:tcPr>
            <w:tcW w:type="dxa" w:w="2880"/>
          </w:tcPr>
          <w:p>
            <w:r>
              <w:t>Collision</w:t>
            </w:r>
          </w:p>
        </w:tc>
        <w:tc>
          <w:tcPr>
            <w:tcW w:type="dxa" w:w="2880"/>
          </w:tcPr>
          <w:p>
            <w:r>
              <w:t>Actual Cash Value</w:t>
            </w:r>
          </w:p>
        </w:tc>
        <w:tc>
          <w:tcPr>
            <w:tcW w:type="dxa" w:w="2880"/>
          </w:tcPr>
          <w:p>
            <w:r>
              <w:t>$500</w:t>
            </w:r>
          </w:p>
        </w:tc>
      </w:tr>
      <w:tr>
        <w:tc>
          <w:tcPr>
            <w:tcW w:type="dxa" w:w="2880"/>
          </w:tcPr>
          <w:p>
            <w:r>
              <w:t>Comprehensive</w:t>
            </w:r>
          </w:p>
        </w:tc>
        <w:tc>
          <w:tcPr>
            <w:tcW w:type="dxa" w:w="2880"/>
          </w:tcPr>
          <w:p>
            <w:r>
              <w:t>Actual Cash Value</w:t>
            </w:r>
          </w:p>
        </w:tc>
        <w:tc>
          <w:tcPr>
            <w:tcW w:type="dxa" w:w="2880"/>
          </w:tcPr>
          <w:p>
            <w:r>
              <w:t>$500</w:t>
            </w:r>
          </w:p>
        </w:tc>
      </w:tr>
      <w:tr>
        <w:tc>
          <w:tcPr>
            <w:tcW w:type="dxa" w:w="2880"/>
          </w:tcPr>
          <w:p>
            <w:r>
              <w:t>Transportation Expenses</w:t>
            </w:r>
          </w:p>
        </w:tc>
        <w:tc>
          <w:tcPr>
            <w:tcW w:type="dxa" w:w="2880"/>
          </w:tcPr>
          <w:p>
            <w:r>
              <w:t>$30/day, max 30 days</w:t>
            </w:r>
          </w:p>
        </w:tc>
        <w:tc>
          <w:tcPr>
            <w:tcW w:type="dxa" w:w="2880"/>
          </w:tcPr>
          <w:p>
            <w:r>
              <w:t>N/A</w:t>
            </w:r>
          </w:p>
        </w:tc>
      </w:tr>
    </w:tbl>
    <w:p>
      <w:pPr>
        <w:pStyle w:val="Heading2"/>
      </w:pPr>
      <w:r>
        <w:t>Endorsements Attached</w:t>
      </w:r>
    </w:p>
    <w:p>
      <w:pPr>
        <w:pStyle w:val="ListBullet"/>
      </w:pPr>
      <w:r>
        <w:t>Named Non-Owner Household Driver Endorsement (END-NN-01)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