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Meridian Mutual Insurance Company</w:t>
      </w:r>
    </w:p>
    <w:p>
      <w:pPr>
        <w:pStyle w:val="Title"/>
      </w:pPr>
      <w:r>
        <w:t>New Vehicle Replacement Cost Endorsement (Form END-NVR-01)</w:t>
      </w:r>
    </w:p>
    <w:p>
      <w:r>
        <w:t>For a covered auto in its first model year of ownership that is declared a total loss under the Total Loss Valuation Methodology, this endorsement pays the cost of a new replacement vehicle of the same make and model, rather than the Actual Cash Value otherwise used for total loss settlement, subject to the endorsement's own $5,000 limit above the ACV figure.</w:t>
      </w:r>
    </w:p>
    <w:p>
      <w:r>
        <w:t>This endorsement is part of the policy and takes effect on the date shown on the Declarations page listing this endorsement.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