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Adjuster Case Notes</w:t>
      </w:r>
    </w:p>
    <w:p>
      <w:r>
        <w:t>Claim Number: CLM-2025-04867</w:t>
      </w:r>
    </w:p>
    <w:p>
      <w:r>
        <w:t>Policy Number: MMIC-PAP-102913 (Nathaniel Q. Simmons)</w:t>
      </w:r>
    </w:p>
    <w:p>
      <w:r>
        <w:t>Governing Policy Form: PAP-2024-STD</w:t>
      </w:r>
    </w:p>
    <w:p>
      <w:pPr>
        <w:pStyle w:val="Heading2"/>
      </w:pPr>
      <w:r>
        <w:t>Step 1 — Policy Version Match</w:t>
      </w:r>
    </w:p>
    <w:p>
      <w:r>
        <w:t>Date of loss 2025-09-13 checked against the Declarations page for MMIC-PAP-102913, effective 2024-12-03 under Form PAP-2024-STD. Date of loss falls within the policy period.</w:t>
      </w:r>
    </w:p>
    <w:p>
      <w:pPr>
        <w:pStyle w:val="Heading2"/>
      </w:pPr>
      <w:r>
        <w:t>Step 2 — Coverage, Limits, and Deductibles</w:t>
      </w:r>
    </w:p>
    <w:p>
      <w:r>
        <w:t>Uninsured/Underinsured Motorist coverage confirmed on Declarations page. Per-accident limit: $300,000. No deductible applies under Part C.</w:t>
      </w:r>
    </w:p>
    <w:p>
      <w:pPr>
        <w:pStyle w:val="Heading2"/>
      </w:pPr>
      <w:r>
        <w:t>Step 3 — Exclusion Check</w:t>
      </w:r>
    </w:p>
    <w:p>
      <w:r>
        <w:t>No exclusion indicators identified in the claim narrative against the Standard Exclusions Addendum.</w:t>
      </w:r>
    </w:p>
    <w:p>
      <w:pPr>
        <w:pStyle w:val="Heading2"/>
      </w:pPr>
      <w:r>
        <w:t>Step 4 — Payout Computation</w:t>
      </w:r>
    </w:p>
    <w:p>
      <w:r>
        <w:t>Computed by the deterministic claims-calculation service: min($8,000, UM/UIM per-accident limit $300,000) = $8,000. No deductible applies under Part C.</w:t>
      </w:r>
    </w:p>
    <w:p>
      <w:pPr>
        <w:pStyle w:val="Heading2"/>
      </w:pPr>
      <w:r>
        <w:t>Step 5 — Recommendation and Approval</w:t>
      </w:r>
    </w:p>
    <w:p>
      <w:r>
        <w:t>Recommendation drafted: approve payout of $8,000, citing the coverage and exclusion sections referenced above. Pending adjuster approval before communication to policyholder or payment issuance.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