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Meridian Mutual Insurance Company — Declarations Page</w:t>
      </w:r>
    </w:p>
    <w:p>
      <w:r>
        <w:t>Policy Number: MMIC-PAP-102778</w:t>
      </w:r>
    </w:p>
    <w:p>
      <w:r>
        <w:t>Policy Form: PAP-2024-STD (effective 2024-01-01)</w:t>
      </w:r>
    </w:p>
    <w:p>
      <w:r>
        <w:t>Named Insured: Bradley S. Tolliver</w:t>
      </w:r>
    </w:p>
    <w:p>
      <w:r>
        <w:t>Address: 63 Hillview Ave, Zanesville, OH 43701</w:t>
      </w:r>
    </w:p>
    <w:p>
      <w:r>
        <w:t>Policy Period Begins: 2024-08-09</w:t>
      </w:r>
    </w:p>
    <w:p>
      <w:pPr>
        <w:pStyle w:val="Heading2"/>
      </w:pPr>
      <w:r>
        <w:t>Covered Vehicle</w:t>
      </w:r>
    </w:p>
    <w:p>
      <w:r>
        <w:t>2019 Ram 1500 — VIN 1C6RR7LT3KS123456</w:t>
      </w:r>
    </w:p>
    <w:p>
      <w:pPr>
        <w:pStyle w:val="Heading2"/>
      </w:pPr>
      <w:r>
        <w:t>Coverage Selections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Coverage</w:t>
            </w:r>
          </w:p>
        </w:tc>
        <w:tc>
          <w:tcPr>
            <w:tcW w:type="dxa" w:w="2880"/>
          </w:tcPr>
          <w:p>
            <w:r>
              <w:t>Limit</w:t>
            </w:r>
          </w:p>
        </w:tc>
        <w:tc>
          <w:tcPr>
            <w:tcW w:type="dxa" w:w="2880"/>
          </w:tcPr>
          <w:p>
            <w:r>
              <w:t>Deductible</w:t>
            </w:r>
          </w:p>
        </w:tc>
      </w:tr>
      <w:tr>
        <w:tc>
          <w:tcPr>
            <w:tcW w:type="dxa" w:w="2880"/>
          </w:tcPr>
          <w:p>
            <w:r>
              <w:t>Liability (BI per person / BI per accident / PD)</w:t>
            </w:r>
          </w:p>
        </w:tc>
        <w:tc>
          <w:tcPr>
            <w:tcW w:type="dxa" w:w="2880"/>
          </w:tcPr>
          <w:p>
            <w:r>
              <w:t>100/300/50 (thousands)</w:t>
            </w:r>
          </w:p>
        </w:tc>
        <w:tc>
          <w:tcPr>
            <w:tcW w:type="dxa" w:w="2880"/>
          </w:tcPr>
          <w:p>
            <w:r>
              <w:t>N/A</w:t>
            </w:r>
          </w:p>
        </w:tc>
      </w:tr>
      <w:tr>
        <w:tc>
          <w:tcPr>
            <w:tcW w:type="dxa" w:w="2880"/>
          </w:tcPr>
          <w:p>
            <w:r>
              <w:t>Uninsured/Underinsured Motorist</w:t>
            </w:r>
          </w:p>
        </w:tc>
        <w:tc>
          <w:tcPr>
            <w:tcW w:type="dxa" w:w="2880"/>
          </w:tcPr>
          <w:p>
            <w:r>
              <w:t>$100,000 / $300,000</w:t>
            </w:r>
          </w:p>
        </w:tc>
        <w:tc>
          <w:tcPr>
            <w:tcW w:type="dxa" w:w="2880"/>
          </w:tcPr>
          <w:p>
            <w:r>
              <w:t>N/A</w:t>
            </w:r>
          </w:p>
        </w:tc>
      </w:tr>
      <w:tr>
        <w:tc>
          <w:tcPr>
            <w:tcW w:type="dxa" w:w="2880"/>
          </w:tcPr>
          <w:p>
            <w:r>
              <w:t>Collision</w:t>
            </w:r>
          </w:p>
        </w:tc>
        <w:tc>
          <w:tcPr>
            <w:tcW w:type="dxa" w:w="2880"/>
          </w:tcPr>
          <w:p>
            <w:r>
              <w:t>Actual Cash Value</w:t>
            </w:r>
          </w:p>
        </w:tc>
        <w:tc>
          <w:tcPr>
            <w:tcW w:type="dxa" w:w="2880"/>
          </w:tcPr>
          <w:p>
            <w:r>
              <w:t>$500</w:t>
            </w:r>
          </w:p>
        </w:tc>
      </w:tr>
      <w:tr>
        <w:tc>
          <w:tcPr>
            <w:tcW w:type="dxa" w:w="2880"/>
          </w:tcPr>
          <w:p>
            <w:r>
              <w:t>Transportation Expenses</w:t>
            </w:r>
          </w:p>
        </w:tc>
        <w:tc>
          <w:tcPr>
            <w:tcW w:type="dxa" w:w="2880"/>
          </w:tcPr>
          <w:p>
            <w:r>
              <w:t>$30/day, max 30 days</w:t>
            </w:r>
          </w:p>
        </w:tc>
        <w:tc>
          <w:tcPr>
            <w:tcW w:type="dxa" w:w="2880"/>
          </w:tcPr>
          <w:p>
            <w:r>
              <w:t>N/A</w:t>
            </w:r>
          </w:p>
        </w:tc>
      </w:tr>
    </w:tbl>
    <w:p>
      <w:pPr>
        <w:pStyle w:val="Heading2"/>
      </w:pPr>
      <w:r>
        <w:t>Endorsements Attached</w:t>
      </w:r>
    </w:p>
    <w:p>
      <w:pPr>
        <w:pStyle w:val="ListBullet"/>
      </w:pPr>
      <w:r>
        <w:t>Named Non-Owner Household Driver Endorsement (END-NN-01)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