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CLM-2025-04492</w:t>
      </w:r>
    </w:p>
    <w:p>
      <w:r>
        <w:t>Policy Number: MMIC-PAP-100567</w:t>
      </w:r>
    </w:p>
    <w:p>
      <w:r>
        <w:t>Vehicle: 2019 Toyota Camry</w:t>
      </w:r>
    </w:p>
    <w:p>
      <w:r>
        <w:t>Date of Loss: 2025-08-11</w:t>
      </w:r>
    </w:p>
    <w:p>
      <w:r>
        <w:t>Loss Type: Comprehensive</w:t>
      </w:r>
    </w:p>
    <w:p>
      <w:pPr>
        <w:pStyle w:val="Heading2"/>
      </w:pPr>
      <w:r>
        <w:t>Damage Description</w:t>
      </w:r>
    </w:p>
    <w:p>
      <w:r>
        <w:t>Vehicle stolen from a parking garage in downtown Cincinnati overnight; recovered three days later with a broken ignition and missing stereo head unit.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$2,150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$2,150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