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Mutual Insurance Company</w:t>
      </w:r>
    </w:p>
    <w:p>
      <w:pPr>
        <w:pStyle w:val="Title"/>
      </w:pPr>
      <w:r>
        <w:t>Rental Reimbursement Increase Endorsement (Form END-RR-01)</w:t>
      </w:r>
    </w:p>
    <w:p>
      <w:r>
        <w:t>This endorsement increases the transportation expense limit shown on the Declarations page to $60 per day, maximum 45 days, replacing the standard limit described in Policy Wording Section 5.3 for the covered auto to which this endorsement is attached.</w:t>
      </w:r>
    </w:p>
    <w:p>
      <w:r>
        <w:t>This endorsement is part of the policy and takes effect on the date shown on the Declarations page listing this endorsement.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