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CLM-2025-04760</w:t>
      </w:r>
    </w:p>
    <w:p>
      <w:r>
        <w:t>Policy Number: MMIC-PAP-102489 (Gregory M. Falk)</w:t>
      </w:r>
    </w:p>
    <w:p>
      <w:r>
        <w:t>Governing Policy Form: PAP-2024-STD</w:t>
      </w:r>
    </w:p>
    <w:p>
      <w:pPr>
        <w:pStyle w:val="Heading2"/>
      </w:pPr>
      <w:r>
        <w:t>Step 1 — Policy Version Match</w:t>
      </w:r>
    </w:p>
    <w:p>
      <w:r>
        <w:t>Date of loss 2025-09-01 checked against the Declarations page for MMIC-PAP-102489, effective 2024-11-30 under Form PAP-2024-STD.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Comprehensive coverage confirmed on Declarations page. Deductible: $500.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min($4,200, Comprehensive coverage) - $500 deductible = $3,700.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$3,700,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