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Adjuster Case Notes</w:t>
      </w:r>
    </w:p>
    <w:p>
      <w:r>
        <w:t>Claim Number: CLM-2025-04835</w:t>
      </w:r>
    </w:p>
    <w:p>
      <w:r>
        <w:t>Policy Number: MMIC-PAP-102778 (Bradley S. Tolliver)</w:t>
      </w:r>
    </w:p>
    <w:p>
      <w:r>
        <w:t>Governing Policy Form: PAP-2024-STD</w:t>
      </w:r>
    </w:p>
    <w:p>
      <w:pPr>
        <w:pStyle w:val="Heading2"/>
      </w:pPr>
      <w:r>
        <w:t>Step 1 — Policy Version Match</w:t>
      </w:r>
    </w:p>
    <w:p>
      <w:r>
        <w:t>Date of loss 2025-09-09 checked against the Declarations page for MMIC-PAP-102778, effective 2024-08-09 under Form PAP-2024-STD. Date of loss falls within the policy period.</w:t>
      </w:r>
    </w:p>
    <w:p>
      <w:pPr>
        <w:pStyle w:val="Heading2"/>
      </w:pPr>
      <w:r>
        <w:t>Step 2 — Coverage, Limits, and Deductibles</w:t>
      </w:r>
    </w:p>
    <w:p>
      <w:r>
        <w:t>No Comprehensive coverage on this policy — this claim cannot be adjudicated under Part D Comprehensive.</w:t>
      </w:r>
    </w:p>
    <w:p>
      <w:pPr>
        <w:pStyle w:val="Heading2"/>
      </w:pPr>
      <w:r>
        <w:t>Step 3 — Exclusion Check</w:t>
      </w:r>
    </w:p>
    <w:p>
      <w:r>
        <w:t>No exclusion indicators identified in the claim narrative against the Standard Exclusions Addendum.</w:t>
      </w:r>
    </w:p>
    <w:p>
      <w:pPr>
        <w:pStyle w:val="Heading2"/>
      </w:pPr>
      <w:r>
        <w:t>Step 4 — Payout Computation</w:t>
      </w:r>
    </w:p>
    <w:p>
      <w:r>
        <w:t>Not computed — claim flagged for review before adjudication (see below).</w:t>
      </w:r>
    </w:p>
    <w:p>
      <w:pPr>
        <w:pStyle w:val="Heading2"/>
      </w:pPr>
      <w:r>
        <w:t>Step 5 — Recommendation and Approval</w:t>
      </w:r>
    </w:p>
    <w:p>
      <w:r>
        <w:t>FLAGGED — routed to supervising adjuster before any recommendation is drafted. Reason: Policy MMIC-PAP-102778 does not have Comprehensive coverage selected on the Declarations page (Collision only). Per Adjudication Guidelines Step 2, this claim cannot be adjudicated under Part D Comprehensive; route back to the policyholder to confirm whether they intended to file under a different coverage part or policy.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