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CLM-2025-04867</w:t>
      </w:r>
    </w:p>
    <w:p>
      <w:r>
        <w:t>Policy Number: MMIC-PAP-102913</w:t>
      </w:r>
    </w:p>
    <w:p>
      <w:r>
        <w:t>Vehicle: 2020 Toyota RAV4</w:t>
      </w:r>
    </w:p>
    <w:p>
      <w:r>
        <w:t>Date of Loss: 2025-09-13</w:t>
      </w:r>
    </w:p>
    <w:p>
      <w:r>
        <w:t>Loss Type: UM/UIM</w:t>
      </w:r>
    </w:p>
    <w:p>
      <w:pPr>
        <w:pStyle w:val="Heading2"/>
      </w:pPr>
      <w:r>
        <w:t>Damage Description</w:t>
      </w:r>
    </w:p>
    <w:p>
      <w:r>
        <w:t>Insured was struck by a driver who fled the scene near Chillicothe and was never identified; treated as an uninsured motorist claim under Part C. Insured sustained medical expenses in addition to vehicle damage.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$8,000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