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MMIC-PAP-101456</w:t>
      </w:r>
    </w:p>
    <w:p>
      <w:r>
        <w:t>Policy Form: PAP-2025-STD (effective 2025-06-01)</w:t>
      </w:r>
    </w:p>
    <w:p>
      <w:r>
        <w:t>Named Insured: Aisha K. Patel</w:t>
      </w:r>
    </w:p>
    <w:p>
      <w:r>
        <w:t>Address: 33 Windermere Ct, Columbus, OH 43220</w:t>
      </w:r>
    </w:p>
    <w:p>
      <w:r>
        <w:t>Policy Period Begins: 2025-06-20</w:t>
      </w:r>
    </w:p>
    <w:p>
      <w:pPr>
        <w:pStyle w:val="Heading2"/>
      </w:pPr>
      <w:r>
        <w:t>Covered Vehicle</w:t>
      </w:r>
    </w:p>
    <w:p>
      <w:r>
        <w:t>2020 Subaru Outback — VIN 4S4BSANC5L3123456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300/500/100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$300,000 / $500,000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Ride-share/TNC Endorsement (END-RS-01)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