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Loan/Lease Gap Coverage Endorsement (Form END-GAP-01)</w:t>
      </w:r>
    </w:p>
    <w:p>
      <w:r>
        <w:t>This endorsement pays the difference between a total loss settlement determined under the Total Loss Valuation Methodology and the amount owed on the covered auto's loan or lease, up to $10,000, when the settlement amount is less than the amount owed. This benefit is computed only after the base total-loss settlement figure is finalized and applies only to a total loss, not to a repairable claim.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