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Ohio State Amendatory Endorsement (Form END-OH-01)</w:t>
      </w:r>
    </w:p>
    <w:p>
      <w:r>
        <w:t>This endorsement amends the Policy Wording to conform to Ohio statutory requirements where the base form's general provisions differ from state-specific requirements, including the cancellation and non-renewal notice periods described in the Underwriting Guidelines, Section 7. Where this endorsement conflicts with the base Policy Wording, this endorsement controls for policies garaged in Ohio.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