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Repair Estimate</w:t>
      </w:r>
    </w:p>
    <w:p>
      <w:r>
        <w:t>Claim Number: CLM-2025-04703</w:t>
      </w:r>
    </w:p>
    <w:p>
      <w:r>
        <w:t>Policy Number: MMIC-PAP-102277</w:t>
      </w:r>
    </w:p>
    <w:p>
      <w:r>
        <w:t>Vehicle: 2021 Mazda CX-5</w:t>
      </w:r>
    </w:p>
    <w:p>
      <w:r>
        <w:t>Date of Loss: 2025-08-27</w:t>
      </w:r>
    </w:p>
    <w:p>
      <w:r>
        <w:t>Loss Type: Collision</w:t>
      </w:r>
    </w:p>
    <w:p>
      <w:pPr>
        <w:pStyle w:val="Heading2"/>
      </w:pPr>
      <w:r>
        <w:t>Damage Description</w:t>
      </w:r>
    </w:p>
    <w:p>
      <w:r>
        <w:t>Insured was logged into a ride-share app and had just completed a drop-off in Canton when she was struck from behind while stopped at a light. Insured's policy has the Ride-share/TNC Endorsement (END-RS-01) attached.</w:t>
      </w:r>
    </w:p>
    <w:p>
      <w:pPr>
        <w:pStyle w:val="Heading2"/>
      </w:pPr>
      <w:r>
        <w:t>Estimate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Parts and Labor</w:t>
            </w:r>
          </w:p>
        </w:tc>
        <w:tc>
          <w:tcPr>
            <w:tcW w:type="dxa" w:w="4320"/>
          </w:tcPr>
          <w:p>
            <w:r>
              <w:t>$3,950</w:t>
            </w:r>
          </w:p>
        </w:tc>
      </w:tr>
      <w:tr>
        <w:tc>
          <w:tcPr>
            <w:tcW w:type="dxa" w:w="4320"/>
          </w:tcPr>
          <w:p>
            <w:r>
              <w:t>Total Estimated Damage</w:t>
            </w:r>
          </w:p>
        </w:tc>
        <w:tc>
          <w:tcPr>
            <w:tcW w:type="dxa" w:w="4320"/>
          </w:tcPr>
          <w:p>
            <w:r>
              <w:t>$3,950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