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MMIC-PAP-101089</w:t>
      </w:r>
    </w:p>
    <w:p>
      <w:r>
        <w:t>Policy Form: PAP-2024-STD (effective 2024-01-01)</w:t>
      </w:r>
    </w:p>
    <w:p>
      <w:r>
        <w:t>Named Insured: Marcus T. Reyes</w:t>
      </w:r>
    </w:p>
    <w:p>
      <w:r>
        <w:t>Address: 905 Fieldstone Rd, Toledo, OH 43604</w:t>
      </w:r>
    </w:p>
    <w:p>
      <w:r>
        <w:t>Policy Period Begins: 2024-02-10</w:t>
      </w:r>
    </w:p>
    <w:p>
      <w:pPr>
        <w:pStyle w:val="Heading2"/>
      </w:pPr>
      <w:r>
        <w:t>Covered Vehicle</w:t>
      </w:r>
    </w:p>
    <w:p>
      <w:r>
        <w:t>2022 Ford F-150 — VIN 1FTFW1E53NFA23456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Not selected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Custom Equipment Endorsement (END-CE-01)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