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MMIC-PAP-102634</w:t>
      </w:r>
    </w:p>
    <w:p>
      <w:r>
        <w:t>Policy Form: PAP-2024-STD (effective 2024-01-01)</w:t>
      </w:r>
    </w:p>
    <w:p>
      <w:r>
        <w:t>Named Insured: Walter B. Higgins</w:t>
      </w:r>
    </w:p>
    <w:p>
      <w:r>
        <w:t>Address: 19 Sycamore Row, Marion, OH 43302</w:t>
      </w:r>
    </w:p>
    <w:p>
      <w:r>
        <w:t>Policy Period Begins: 2024-06-18</w:t>
      </w:r>
    </w:p>
    <w:p>
      <w:pPr>
        <w:pStyle w:val="Heading2"/>
      </w:pPr>
      <w:r>
        <w:t>Covered Vehicle</w:t>
      </w:r>
    </w:p>
    <w:p>
      <w:r>
        <w:t>2015 Ford Escape — VIN 1FMCU9GX5FUA12345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