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Meridian Mutual Insurance Company — Declarations Page</w:t>
      </w:r>
    </w:p>
    <w:p>
      <w:r>
        <w:t>Policy Number: MMIC-PAP-102913</w:t>
      </w:r>
    </w:p>
    <w:p>
      <w:r>
        <w:t>Policy Form: PAP-2024-STD (effective 2024-01-01)</w:t>
      </w:r>
    </w:p>
    <w:p>
      <w:r>
        <w:t>Named Insured: Nathaniel Q. Simmons</w:t>
      </w:r>
    </w:p>
    <w:p>
      <w:r>
        <w:t>Address: 47 Brambleton Way, Chillicothe, OH 45601</w:t>
      </w:r>
    </w:p>
    <w:p>
      <w:r>
        <w:t>Policy Period Begins: 2024-12-03</w:t>
      </w:r>
    </w:p>
    <w:p>
      <w:pPr>
        <w:pStyle w:val="Heading2"/>
      </w:pPr>
      <w:r>
        <w:t>Covered Vehicle</w:t>
      </w:r>
    </w:p>
    <w:p>
      <w:r>
        <w:t>2020 Toyota RAV4 — VIN 2T3P1RFV0LW123456</w:t>
      </w:r>
    </w:p>
    <w:p>
      <w:pPr>
        <w:pStyle w:val="Heading2"/>
      </w:pPr>
      <w:r>
        <w:t>Coverage Selections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Coverage</w:t>
            </w:r>
          </w:p>
        </w:tc>
        <w:tc>
          <w:tcPr>
            <w:tcW w:type="dxa" w:w="2880"/>
          </w:tcPr>
          <w:p>
            <w:r>
              <w:t>Limit</w:t>
            </w:r>
          </w:p>
        </w:tc>
        <w:tc>
          <w:tcPr>
            <w:tcW w:type="dxa" w:w="2880"/>
          </w:tcPr>
          <w:p>
            <w:r>
              <w:t>Deductible</w:t>
            </w:r>
          </w:p>
        </w:tc>
      </w:tr>
      <w:tr>
        <w:tc>
          <w:tcPr>
            <w:tcW w:type="dxa" w:w="2880"/>
          </w:tcPr>
          <w:p>
            <w:r>
              <w:t>Liability (BI per person / BI per accident / PD)</w:t>
            </w:r>
          </w:p>
        </w:tc>
        <w:tc>
          <w:tcPr>
            <w:tcW w:type="dxa" w:w="2880"/>
          </w:tcPr>
          <w:p>
            <w:r>
              <w:t>100/300/50 (thousands)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Medical Payments</w:t>
            </w:r>
          </w:p>
        </w:tc>
        <w:tc>
          <w:tcPr>
            <w:tcW w:type="dxa" w:w="2880"/>
          </w:tcPr>
          <w:p>
            <w:r>
              <w:t>$5,000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Uninsured/Underinsured Motorist</w:t>
            </w:r>
          </w:p>
        </w:tc>
        <w:tc>
          <w:tcPr>
            <w:tcW w:type="dxa" w:w="2880"/>
          </w:tcPr>
          <w:p>
            <w:r>
              <w:t>$100,000 / $300,000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Collision</w:t>
            </w:r>
          </w:p>
        </w:tc>
        <w:tc>
          <w:tcPr>
            <w:tcW w:type="dxa" w:w="2880"/>
          </w:tcPr>
          <w:p>
            <w:r>
              <w:t>Actual Cash Value</w:t>
            </w:r>
          </w:p>
        </w:tc>
        <w:tc>
          <w:tcPr>
            <w:tcW w:type="dxa" w:w="2880"/>
          </w:tcPr>
          <w:p>
            <w:r>
              <w:t>$500</w:t>
            </w:r>
          </w:p>
        </w:tc>
      </w:tr>
      <w:tr>
        <w:tc>
          <w:tcPr>
            <w:tcW w:type="dxa" w:w="2880"/>
          </w:tcPr>
          <w:p>
            <w:r>
              <w:t>Comprehensive</w:t>
            </w:r>
          </w:p>
        </w:tc>
        <w:tc>
          <w:tcPr>
            <w:tcW w:type="dxa" w:w="2880"/>
          </w:tcPr>
          <w:p>
            <w:r>
              <w:t>Actual Cash Value</w:t>
            </w:r>
          </w:p>
        </w:tc>
        <w:tc>
          <w:tcPr>
            <w:tcW w:type="dxa" w:w="2880"/>
          </w:tcPr>
          <w:p>
            <w:r>
              <w:t>$500</w:t>
            </w:r>
          </w:p>
        </w:tc>
      </w:tr>
      <w:tr>
        <w:tc>
          <w:tcPr>
            <w:tcW w:type="dxa" w:w="2880"/>
          </w:tcPr>
          <w:p>
            <w:r>
              <w:t>Transportation Expenses</w:t>
            </w:r>
          </w:p>
        </w:tc>
        <w:tc>
          <w:tcPr>
            <w:tcW w:type="dxa" w:w="2880"/>
          </w:tcPr>
          <w:p>
            <w:r>
              <w:t>$30/day, max 30 days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